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color w:val="auto"/>
          <w:sz w:val="28"/>
          <w:highlight w:val="none"/>
        </w:rPr>
      </w:pPr>
      <w:r>
        <w:rPr>
          <w:rFonts w:ascii="Times New Roman" w:hAnsi="Times New Roman" w:eastAsia="黑体"/>
          <w:b/>
          <w:color w:val="auto"/>
          <w:sz w:val="28"/>
          <w:highlight w:val="none"/>
        </w:rPr>
        <w:t>机械电子工程专业指导性培养计划</w:t>
      </w:r>
    </w:p>
    <w:p>
      <w:pPr>
        <w:adjustRightInd w:val="0"/>
        <w:snapToGrid w:val="0"/>
        <w:spacing w:line="360" w:lineRule="auto"/>
        <w:jc w:val="center"/>
        <w:rPr>
          <w:rFonts w:ascii="黑体" w:hAnsi="黑体" w:eastAsia="黑体" w:cs="黑体"/>
          <w:b/>
          <w:color w:val="auto"/>
          <w:szCs w:val="21"/>
          <w:highlight w:val="none"/>
        </w:rPr>
      </w:pPr>
      <w:r>
        <w:rPr>
          <w:rFonts w:hint="eastAsia" w:ascii="黑体" w:hAnsi="黑体" w:eastAsia="黑体" w:cs="黑体"/>
          <w:b/>
          <w:color w:val="auto"/>
          <w:szCs w:val="21"/>
          <w:highlight w:val="none"/>
        </w:rPr>
        <w:t>（中本贯通---本科阶段）</w:t>
      </w:r>
    </w:p>
    <w:p>
      <w:pPr>
        <w:adjustRightInd w:val="0"/>
        <w:snapToGrid w:val="0"/>
        <w:spacing w:line="360" w:lineRule="auto"/>
        <w:jc w:val="center"/>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专业代码：080204</w:t>
      </w:r>
    </w:p>
    <w:p>
      <w:pPr>
        <w:adjustRightInd w:val="0"/>
        <w:snapToGrid w:val="0"/>
        <w:spacing w:line="360" w:lineRule="auto"/>
        <w:outlineLvl w:val="0"/>
        <w:rPr>
          <w:rFonts w:ascii="Times New Roman" w:hAnsi="Times New Roman" w:eastAsia="黑体"/>
          <w:b/>
          <w:color w:val="auto"/>
          <w:kern w:val="0"/>
          <w:szCs w:val="21"/>
          <w:highlight w:val="none"/>
        </w:rPr>
      </w:pPr>
      <w:r>
        <w:rPr>
          <w:rFonts w:ascii="Times New Roman" w:hAnsi="Times New Roman" w:eastAsia="黑体"/>
          <w:b/>
          <w:bCs/>
          <w:color w:val="auto"/>
          <w:szCs w:val="21"/>
          <w:highlight w:val="none"/>
        </w:rPr>
        <w:t>执笔：何成</w:t>
      </w:r>
      <w:r>
        <w:rPr>
          <w:rFonts w:hint="eastAsia" w:ascii="Times New Roman" w:hAnsi="Times New Roman" w:eastAsia="黑体"/>
          <w:b/>
          <w:bCs/>
          <w:color w:val="auto"/>
          <w:szCs w:val="21"/>
          <w:highlight w:val="none"/>
        </w:rPr>
        <w:t xml:space="preserve"> </w:t>
      </w:r>
      <w:r>
        <w:rPr>
          <w:rFonts w:ascii="Times New Roman" w:hAnsi="Times New Roman" w:eastAsia="黑体"/>
          <w:b/>
          <w:bCs/>
          <w:color w:val="auto"/>
          <w:szCs w:val="21"/>
          <w:highlight w:val="none"/>
        </w:rPr>
        <w:t>刘巍        审核：郭帅</w:t>
      </w:r>
      <w:r>
        <w:rPr>
          <w:rFonts w:hint="eastAsia" w:ascii="Times New Roman" w:hAnsi="Times New Roman" w:eastAsia="黑体"/>
          <w:b/>
          <w:bCs/>
          <w:color w:val="auto"/>
          <w:szCs w:val="21"/>
          <w:highlight w:val="none"/>
        </w:rPr>
        <w:t xml:space="preserve"> </w:t>
      </w:r>
      <w:r>
        <w:rPr>
          <w:rFonts w:ascii="Times New Roman" w:hAnsi="Times New Roman" w:eastAsia="黑体"/>
          <w:b/>
          <w:color w:val="auto"/>
          <w:kern w:val="0"/>
          <w:szCs w:val="21"/>
          <w:highlight w:val="none"/>
        </w:rPr>
        <w:t>汪志锋</w:t>
      </w:r>
    </w:p>
    <w:p>
      <w:pPr>
        <w:adjustRightInd w:val="0"/>
        <w:snapToGrid w:val="0"/>
        <w:spacing w:line="360" w:lineRule="auto"/>
        <w:outlineLvl w:val="0"/>
        <w:rPr>
          <w:rFonts w:ascii="Times New Roman" w:hAnsi="Times New Roman" w:eastAsia="黑体"/>
          <w:b/>
          <w:bCs/>
          <w:color w:val="auto"/>
          <w:szCs w:val="21"/>
          <w:highlight w:val="none"/>
        </w:rPr>
      </w:pP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一，培养目标</w:t>
      </w:r>
    </w:p>
    <w:p>
      <w:p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1．培养总目标</w:t>
      </w:r>
    </w:p>
    <w:p>
      <w:pPr>
        <w:tabs>
          <w:tab w:val="left" w:pos="4834"/>
        </w:tabs>
        <w:adjustRightInd w:val="0"/>
        <w:snapToGrid w:val="0"/>
        <w:spacing w:line="360" w:lineRule="auto"/>
        <w:rPr>
          <w:rFonts w:ascii="Times New Roman" w:hAnsi="Times New Roman"/>
          <w:color w:val="auto"/>
          <w:szCs w:val="21"/>
          <w:highlight w:val="none"/>
        </w:rPr>
      </w:pPr>
      <w:r>
        <w:rPr>
          <w:rFonts w:ascii="Times New Roman" w:hAnsi="Times New Roman"/>
          <w:color w:val="auto"/>
          <w:highlight w:val="none"/>
        </w:rPr>
        <w:t xml:space="preserve">    机械电子工程专业培养具有扎实的自然科学基础和良好的人文素养，掌握机械设计、电气控制、计算机与信息技术等专业基础知识和技能，具有良好的职业道德素养和较强机电一体化综合实践能力，能够在机电行业或应用机电技术的行业，从事现代机电产品或系统的应用开发、智能机电装备的装调维修、系统集成、运行管理和技术服务等工作的</w:t>
      </w:r>
      <w:r>
        <w:rPr>
          <w:rFonts w:ascii="Times New Roman" w:hAnsi="Times New Roman"/>
          <w:color w:val="auto"/>
          <w:szCs w:val="21"/>
          <w:highlight w:val="none"/>
        </w:rPr>
        <w:t>德、智、体、美、劳全面发展的</w:t>
      </w:r>
      <w:r>
        <w:rPr>
          <w:rFonts w:ascii="Times New Roman" w:hAnsi="Times New Roman"/>
          <w:color w:val="auto"/>
          <w:highlight w:val="none"/>
        </w:rPr>
        <w:t>高级应用型工程技术人才。</w:t>
      </w:r>
    </w:p>
    <w:p>
      <w:pPr>
        <w:tabs>
          <w:tab w:val="left" w:pos="4834"/>
        </w:tabs>
        <w:adjustRightInd w:val="0"/>
        <w:snapToGrid w:val="0"/>
        <w:spacing w:line="360" w:lineRule="auto"/>
        <w:ind w:firstLine="105" w:firstLineChars="50"/>
        <w:rPr>
          <w:rFonts w:ascii="Times New Roman" w:hAnsi="Times New Roman"/>
          <w:color w:val="auto"/>
          <w:szCs w:val="21"/>
          <w:highlight w:val="none"/>
        </w:rPr>
      </w:pPr>
      <w:r>
        <w:rPr>
          <w:rFonts w:ascii="Times New Roman" w:hAnsi="Times New Roman"/>
          <w:color w:val="auto"/>
          <w:szCs w:val="21"/>
          <w:highlight w:val="none"/>
        </w:rPr>
        <w:t xml:space="preserve"> 2．价值引领目标</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highlight w:val="none"/>
        </w:rPr>
        <w:t>以劳模精神和工匠精神为价值取向，树匠心、育匠人。在专业课程尤其是实践课程的实施过程中，通过工匠精神</w:t>
      </w:r>
      <w:r>
        <w:rPr>
          <w:rFonts w:ascii="Times New Roman" w:hAnsi="Times New Roman"/>
          <w:color w:val="auto"/>
          <w:highlight w:val="none"/>
          <w:shd w:val="clear" w:color="auto" w:fill="FFFFFF"/>
        </w:rPr>
        <w:t>将工程师价值观和工程伦理教育寓于之中，</w:t>
      </w:r>
      <w:r>
        <w:rPr>
          <w:rFonts w:ascii="Times New Roman" w:hAnsi="Times New Roman"/>
          <w:color w:val="auto"/>
          <w:highlight w:val="none"/>
        </w:rPr>
        <w:t>培养学生养成严谨细致专注负责的工作态度，精雕细琢、精益求精的工作理念，掌握高超的技艺和精湛的技能，</w:t>
      </w:r>
      <w:r>
        <w:rPr>
          <w:rFonts w:ascii="Times New Roman" w:hAnsi="Times New Roman"/>
          <w:color w:val="auto"/>
          <w:highlight w:val="none"/>
          <w:shd w:val="clear" w:color="auto" w:fill="FFFFFF"/>
        </w:rPr>
        <w:t>激发学生投身制造业转型升级的使命感，</w:t>
      </w:r>
      <w:r>
        <w:rPr>
          <w:rFonts w:ascii="Times New Roman" w:hAnsi="Times New Roman"/>
          <w:color w:val="auto"/>
          <w:highlight w:val="none"/>
        </w:rPr>
        <w:t>从而为推动中国“制造”走向中国“智造”提质、提速、提品、提效。</w:t>
      </w:r>
    </w:p>
    <w:p>
      <w:pPr>
        <w:numPr>
          <w:ilvl w:val="0"/>
          <w:numId w:val="1"/>
        </w:num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学生毕业五年后须达到的目标</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1）能够适应机械电子工程的技术发展，掌握扎实的工程基础知识和专业技能，能对机械电子工程及其相关领域的复杂工程问题提供解决方案。</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2）具有较强的技术创新意识和工程创新能力，能够综合应用机械电子工程专业知识和现代工具从事复杂机械电子工程相关产品的设计、开发和生产。</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3）具备社会责任感，理解并坚守职业道德规范，综合考虑法律、安全、环境与可持续性发展等因素影响。</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4）具备良好的人文科学素养和崇尚劳动、无私奉献的精神，拥有团队合作、有效的沟通、表达能力和工程项目管理的能力。</w:t>
      </w:r>
    </w:p>
    <w:p>
      <w:pPr>
        <w:pStyle w:val="5"/>
        <w:adjustRightInd w:val="0"/>
        <w:snapToGrid w:val="0"/>
        <w:spacing w:before="0" w:beforeAutospacing="0" w:after="0" w:afterAutospacing="0" w:line="360" w:lineRule="auto"/>
        <w:ind w:firstLine="420" w:firstLineChars="200"/>
        <w:contextualSpacing/>
        <w:rPr>
          <w:rFonts w:ascii="Times New Roman" w:hAnsi="Times New Roman" w:eastAsia="黑体" w:cs="Times New Roman"/>
          <w:b/>
          <w:color w:val="auto"/>
          <w:highlight w:val="none"/>
        </w:rPr>
      </w:pPr>
      <w:r>
        <w:rPr>
          <w:rFonts w:ascii="Times New Roman" w:hAnsi="Times New Roman" w:cs="Times New Roman"/>
          <w:color w:val="auto"/>
          <w:sz w:val="21"/>
          <w:szCs w:val="21"/>
          <w:highlight w:val="none"/>
        </w:rPr>
        <w:t>5）掌握机械电子工程领域国内外现状和发展趋势，具有国际视野，拥有自主学习和终身学习的能力。</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二，毕业要求</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机械电子工程专业根据中国工程教育专业认证协会通用标准的12项毕业要求，结合我校人才培养定位对12项毕业要求核心能力和素质表达进行内涵扩展，各项指标点分解如下：</w:t>
      </w:r>
    </w:p>
    <w:p>
      <w:pPr>
        <w:adjustRightInd w:val="0"/>
        <w:snapToGrid w:val="0"/>
        <w:spacing w:line="360" w:lineRule="auto"/>
        <w:ind w:firstLine="407" w:firstLineChars="193"/>
        <w:rPr>
          <w:rFonts w:ascii="Times New Roman" w:hAnsi="Times New Roman"/>
          <w:bCs/>
          <w:color w:val="auto"/>
          <w:highlight w:val="none"/>
        </w:rPr>
      </w:pPr>
      <w:r>
        <w:rPr>
          <w:rFonts w:ascii="Times New Roman" w:hAnsi="Times New Roman"/>
          <w:b/>
          <w:color w:val="auto"/>
          <w:highlight w:val="none"/>
        </w:rPr>
        <w:t>1.工程知识：</w:t>
      </w:r>
      <w:r>
        <w:rPr>
          <w:rFonts w:ascii="Times New Roman" w:hAnsi="Times New Roman"/>
          <w:bCs/>
          <w:color w:val="auto"/>
          <w:highlight w:val="none"/>
        </w:rPr>
        <w:t>能够将数学、自然科学、工程基础和专业知识用于解决机械电子工程及其相关领域的复杂工程问题。</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指标点1-1：能够运用机械电子工程专业所必备的数学、自然科学、工程基础和专业知识进行</w:t>
      </w:r>
      <w:r>
        <w:rPr>
          <w:rFonts w:ascii="Times New Roman" w:hAnsi="Times New Roman"/>
          <w:color w:val="auto"/>
          <w:szCs w:val="21"/>
          <w:highlight w:val="none"/>
        </w:rPr>
        <w:t>机械电子工程领域复杂问题的</w:t>
      </w:r>
      <w:r>
        <w:rPr>
          <w:rFonts w:ascii="Times New Roman" w:hAnsi="Times New Roman"/>
          <w:color w:val="auto"/>
          <w:highlight w:val="none"/>
        </w:rPr>
        <w:t>表述；</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 xml:space="preserve">指标点1-2：能够针对一个复杂机电系统或者机电控制过程建立数学模型，并求解； </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 xml:space="preserve">指标点1-3：能够将相关知识和数学模型用于机械电子工程及其相关领域的复杂工程问题解决方案的推演、分析、判别； </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指标点1-4：能够应用数学模型和相关工程知识对机械电子工程及其相关领域的复杂工程问题的解决方案进行分析、比较，试图改进。</w:t>
      </w:r>
    </w:p>
    <w:p>
      <w:pPr>
        <w:adjustRightInd w:val="0"/>
        <w:snapToGrid w:val="0"/>
        <w:spacing w:line="360" w:lineRule="auto"/>
        <w:ind w:firstLine="422" w:firstLineChars="200"/>
        <w:contextualSpacing/>
        <w:rPr>
          <w:rFonts w:ascii="Times New Roman" w:hAnsi="Times New Roman"/>
          <w:bCs/>
          <w:color w:val="auto"/>
          <w:highlight w:val="none"/>
        </w:rPr>
      </w:pPr>
      <w:r>
        <w:rPr>
          <w:rFonts w:ascii="Times New Roman" w:hAnsi="Times New Roman"/>
          <w:b/>
          <w:color w:val="auto"/>
          <w:highlight w:val="none"/>
        </w:rPr>
        <w:t>2.问题分析：</w:t>
      </w:r>
      <w:r>
        <w:rPr>
          <w:rFonts w:ascii="Times New Roman" w:hAnsi="Times New Roman"/>
          <w:bCs/>
          <w:color w:val="auto"/>
          <w:highlight w:val="none"/>
        </w:rPr>
        <w:t>能够应用数学、自然科学和工程科学的基本原理，识别、表达、并通过文献研究分析机械电子工程及其相关领域的复杂工程问题，以获得有效结论。</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指标点2-1：能运用数学、自然科学和工程科学的基本原理，识别和判断机械电子工程及其相关领域的复杂工程问题的关键技术和关键参数；</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指标点2-2：能基于相关科学原理和数学模型正确表达、推演、分析和综合机械电子工程及其相关领域的复杂工程问题；</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指标点2-3：能认识到解决机械电子工程及其相关领域的复杂工程问题有多种方案，会通过文献研究寻求可替代和备用的解决方案；</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指标点2-4：能运用机械电子工程及专门应用领域的基本原理，分析过程的影响因素，获得有效结论。</w:t>
      </w:r>
    </w:p>
    <w:p>
      <w:pPr>
        <w:adjustRightInd w:val="0"/>
        <w:snapToGrid w:val="0"/>
        <w:spacing w:line="360" w:lineRule="auto"/>
        <w:ind w:firstLine="422" w:firstLineChars="200"/>
        <w:contextualSpacing/>
        <w:rPr>
          <w:rFonts w:ascii="Times New Roman" w:hAnsi="Times New Roman"/>
          <w:color w:val="auto"/>
          <w:highlight w:val="none"/>
        </w:rPr>
      </w:pPr>
      <w:r>
        <w:rPr>
          <w:rFonts w:ascii="Times New Roman" w:hAnsi="Times New Roman"/>
          <w:b/>
          <w:color w:val="auto"/>
          <w:highlight w:val="none"/>
        </w:rPr>
        <w:t>3.设计/开发解决方案</w:t>
      </w:r>
      <w:r>
        <w:rPr>
          <w:rFonts w:ascii="Times New Roman" w:hAnsi="Times New Roman"/>
          <w:color w:val="auto"/>
          <w:highlight w:val="none"/>
        </w:rPr>
        <w:t>：能够针对机械电子工程及其相关领域的复杂工程问题设计方案，设计满足特定需求的机电系统、机电装备或控制系统，并在设计环节中体现创新意识，考虑社会、健康、安全、法律、文化以及环境等因素。</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指标点3-1：掌握机械电子工程设计和机电产品开发的全生命周期、全流程的基本设计/开发方法和技术，描述设计目标，了解影响设计目标和技术方案的各种因素；</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指标点3-2：能够针对机械电子工程及其相关领域的复杂工程问题，特别是机电装备、控制过程中的特定需求，制定解决方案，完成系统、部件和零件的设计；</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指标点3-3：能够进行复杂机电系统或机电控制过程的设计，并在设计中体现创新意识；</w:t>
      </w:r>
    </w:p>
    <w:p>
      <w:pPr>
        <w:adjustRightInd w:val="0"/>
        <w:snapToGrid w:val="0"/>
        <w:spacing w:line="360" w:lineRule="auto"/>
        <w:ind w:firstLine="420" w:firstLineChars="200"/>
        <w:contextualSpacing/>
        <w:rPr>
          <w:rFonts w:ascii="Times New Roman" w:hAnsi="Times New Roman"/>
          <w:color w:val="auto"/>
          <w:highlight w:val="none"/>
        </w:rPr>
      </w:pPr>
      <w:r>
        <w:rPr>
          <w:rFonts w:ascii="Times New Roman" w:hAnsi="Times New Roman"/>
          <w:color w:val="auto"/>
          <w:highlight w:val="none"/>
        </w:rPr>
        <w:t>指标点3-4：能够在设计中综合考虑社会、健康、安全、法律、伦理、文化及环境等因素。</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4.研究：</w:t>
      </w:r>
      <w:r>
        <w:rPr>
          <w:rFonts w:ascii="Times New Roman" w:hAnsi="Times New Roman"/>
          <w:bCs/>
          <w:color w:val="auto"/>
          <w:highlight w:val="none"/>
        </w:rPr>
        <w:t>能够基于科学原理并采用科学方法对机械电子工程及其相关领域的复杂工程问题进行研究，包括设计实验、分析与解释数据、并通过信息综合得到合理有效的结论。</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指标点4-1：能够基于科学原理，结合文献研究或相关方法，针对机械电子工程及其相关领域的复杂工程问题，进行调研和分析，设计可行的研究方案；</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指标点4-2：能够根据机械电子工程系统或问题的特征，选择研究路线，设计实验方案；</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指标点4-3：能够根据实验方案构建实验系统，安全地开展实验，正确地采集实验数据；</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指标点4-4：能对实验结果进行正确分析和解释，并通过信息综合得到合理有效的结论。</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5.使用现代工具：</w:t>
      </w:r>
      <w:r>
        <w:rPr>
          <w:rFonts w:ascii="Times New Roman" w:hAnsi="Times New Roman"/>
          <w:bCs/>
          <w:color w:val="auto"/>
          <w:highlight w:val="none"/>
        </w:rPr>
        <w:t>能够针对复杂机械工程问题，开发、选择与使用恰当的技术、资源、现代工程工具和信息技术工具，包括对机械电子工程及其相关领域的复杂工程问题的预测与模拟，并能够理解其局限性。</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指标点5-1：了解机械电子工程专业常用的现代仪器、信息技术工具、工程工具和模拟软件的使用原理和方法，并理解其使用局限性；</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指标点5-2：能够选择与使用恰当的仪器、信息资源、工程工具和专业模拟软件，对机械电子工程及其相关领域的复杂工程问题进行分析、计算与设计；</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指标点5-3：能够针对机械电子工程领域中的复杂工程问题的具体对象，开发或选用满足特定需求的现代工具，模拟和预测专业问题，并能够分析其局限性。</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6.工程与社会：</w:t>
      </w:r>
      <w:r>
        <w:rPr>
          <w:rFonts w:ascii="Times New Roman" w:hAnsi="Times New Roman"/>
          <w:color w:val="auto"/>
          <w:highlight w:val="none"/>
        </w:rPr>
        <w:t>能够基于工程相关背景知识进行合理分析，评价机械电子工程专业的工程实践和复杂工程问题解决方案对社会、健康、安全、法律以及文化的影响，并理解应承担的责任。</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指标点6-1：了解机械电子工程相关领域的技术标准体系、知识产权、产业政策和法律法规，理解不同社会文化对工程活动的影响；</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指标点6-2：能分析和评价机械电子工程实践对社会、健康、安全、法律、文化的影响，以及这些制约因素对项目实施的影响，并理解应承担的责任。</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7.环境和可持续发展</w:t>
      </w:r>
      <w:r>
        <w:rPr>
          <w:rFonts w:ascii="Times New Roman" w:hAnsi="Times New Roman"/>
          <w:color w:val="auto"/>
          <w:highlight w:val="none"/>
        </w:rPr>
        <w:t>：能够理解和评价针对复杂工程问题的工程实践对环境、社会可持续发展的影响。</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指标点7-1：理解环境保护和社会可持续发展的内涵和意义，能够在解决机械电子工程及其相关领域的复杂工程问题时，践行环保和可持续发展的理念；</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指标点7-2：能针对实际机械电子工程项目，评价其可能对人类和环境造成的隐患，并理解应承担的社会、安全和法律责任。</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8.职业规范：</w:t>
      </w:r>
      <w:r>
        <w:rPr>
          <w:rFonts w:ascii="Times New Roman" w:hAnsi="Times New Roman"/>
          <w:color w:val="auto"/>
          <w:highlight w:val="none"/>
        </w:rPr>
        <w:t>具有人文社会科学素养、社会责任感，能够在机械电子工程实践中理解并遵守工程职业道德和规范，履行责任。</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指标点8-1：具有人文社会科学素养，有正确价值观，理解个人与社会的关系，了解中国国情；</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指标点8-2：理解诚实公正、诚信守则的工程职业道德和规范，并能在机械电子工程实践中自觉遵守；</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指标点8-3：理解机械电子工程师对公众的安全、健康和福祉，以及环境保护的社会责任，能够在机械电子工程实践中自觉履行责任。</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9.个人和团队：</w:t>
      </w:r>
      <w:r>
        <w:rPr>
          <w:rFonts w:ascii="Times New Roman" w:hAnsi="Times New Roman"/>
          <w:color w:val="auto"/>
          <w:highlight w:val="none"/>
        </w:rPr>
        <w:t>能够在多学科背景下的团队中承担个体、团队成员以及负责人的角色。</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指标点9-1：能与其他学科的成员有效沟通，独立或合作开展工作；</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指标点9-2：能够在多学科背景下的团队中组织、协调和指挥团队开展工作。</w:t>
      </w:r>
    </w:p>
    <w:p>
      <w:pPr>
        <w:adjustRightInd w:val="0"/>
        <w:snapToGrid w:val="0"/>
        <w:spacing w:line="360" w:lineRule="auto"/>
        <w:ind w:firstLine="420"/>
        <w:rPr>
          <w:rFonts w:ascii="Times New Roman" w:hAnsi="Times New Roman"/>
          <w:bCs/>
          <w:color w:val="auto"/>
          <w:highlight w:val="none"/>
        </w:rPr>
      </w:pPr>
      <w:r>
        <w:rPr>
          <w:rFonts w:ascii="Times New Roman" w:hAnsi="Times New Roman"/>
          <w:b/>
          <w:color w:val="auto"/>
          <w:highlight w:val="none"/>
        </w:rPr>
        <w:t>10.沟通：</w:t>
      </w:r>
      <w:r>
        <w:rPr>
          <w:rFonts w:ascii="Times New Roman" w:hAnsi="Times New Roman"/>
          <w:bCs/>
          <w:color w:val="auto"/>
          <w:highlight w:val="none"/>
        </w:rPr>
        <w:t>能够就机械电子工程及其相关领域的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指标点10-1：能就机械电子工程及其相关领域的复杂工程问题，以口头、文稿、图表或图纸等方式，准确表达自己的观点，回应质疑，理解与业界同行和社会公众交流的差异性；</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指标点10-2：了解机械电子工程领域的国际发展趋势、研究热点，理解和尊重世界不同文化的差异性和多样性；</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指标点10-3：具备跨文化交流的语言和书面表达能力，能就机械电子工程及其相关领域的复杂工程问题，在跨文化背景下进行基本沟通和交流。</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11.项目管理：</w:t>
      </w:r>
      <w:r>
        <w:rPr>
          <w:rFonts w:ascii="Times New Roman" w:hAnsi="Times New Roman"/>
          <w:color w:val="auto"/>
          <w:highlight w:val="none"/>
        </w:rPr>
        <w:t>理解并掌握工程管理原理与经济决策方法，并能在多学科环境中应用。</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指标点11-1：掌握机械电子工程活动所涉及的工程管理原理与经济决策方法；</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指标点11-2：了解机械电子工程及机电产品全生命周期、全流程的成本构成，理解其中涉及的工程管理与经济决策问题；</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指标点11-3：能在多学科环境下（包括模拟环境），在设计开发机械电子工程项目解决方案的过程中，运用工程管理与经济决策方法。</w:t>
      </w:r>
    </w:p>
    <w:p>
      <w:pPr>
        <w:adjustRightInd w:val="0"/>
        <w:snapToGrid w:val="0"/>
        <w:spacing w:line="360" w:lineRule="auto"/>
        <w:ind w:firstLine="422" w:firstLineChars="200"/>
        <w:rPr>
          <w:rFonts w:ascii="Times New Roman" w:hAnsi="Times New Roman"/>
          <w:color w:val="auto"/>
          <w:highlight w:val="none"/>
        </w:rPr>
      </w:pPr>
      <w:r>
        <w:rPr>
          <w:rFonts w:ascii="Times New Roman" w:hAnsi="Times New Roman"/>
          <w:b/>
          <w:color w:val="auto"/>
          <w:highlight w:val="none"/>
        </w:rPr>
        <w:t>12.终身学习：</w:t>
      </w:r>
      <w:r>
        <w:rPr>
          <w:rFonts w:ascii="Times New Roman" w:hAnsi="Times New Roman"/>
          <w:color w:val="auto"/>
          <w:highlight w:val="none"/>
        </w:rPr>
        <w:t>具有自主学习和终身学习的意识，有不断学习和适应发展的能力。</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指标点12-1：能正确认识自我探索和终身学习的必要性，具有自主学习和终身学习意识；</w:t>
      </w:r>
    </w:p>
    <w:p>
      <w:pPr>
        <w:adjustRightInd w:val="0"/>
        <w:snapToGrid w:val="0"/>
        <w:spacing w:line="360" w:lineRule="auto"/>
        <w:ind w:firstLine="420"/>
        <w:rPr>
          <w:rFonts w:ascii="Times New Roman" w:hAnsi="Times New Roman"/>
          <w:color w:val="auto"/>
          <w:highlight w:val="none"/>
        </w:rPr>
      </w:pPr>
      <w:r>
        <w:rPr>
          <w:rFonts w:ascii="Times New Roman" w:hAnsi="Times New Roman"/>
          <w:color w:val="auto"/>
          <w:highlight w:val="none"/>
        </w:rPr>
        <w:t>指标点12-2：能针对个人或职业发展需求，采取适合的方式自主学习，并具有适应社会和机械电子工程领域技术发展和知识更新的能力。</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三，学制</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四年</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四，修业年限</w:t>
      </w:r>
    </w:p>
    <w:p>
      <w:pPr>
        <w:adjustRightInd w:val="0"/>
        <w:snapToGrid w:val="0"/>
        <w:spacing w:line="360" w:lineRule="auto"/>
        <w:ind w:firstLine="420"/>
        <w:rPr>
          <w:rFonts w:ascii="Times New Roman" w:hAnsi="Times New Roman"/>
          <w:color w:val="auto"/>
          <w:highlight w:val="none"/>
        </w:rPr>
      </w:pPr>
      <w:r>
        <w:rPr>
          <w:rFonts w:ascii="Times New Roman" w:hAnsi="Times New Roman"/>
          <w:color w:val="auto"/>
          <w:highlight w:val="none"/>
        </w:rPr>
        <w:t>实行弹性修业年限，一般为四年，弹性幅度最短不低于三年，最长不多于六年。</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五，毕业与学位授予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学分，方可毕业；达到学士学位授予条件者，授予工学学士学位。</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六，主干学科</w:t>
      </w:r>
    </w:p>
    <w:p>
      <w:pPr>
        <w:adjustRightInd w:val="0"/>
        <w:snapToGrid w:val="0"/>
        <w:spacing w:line="360" w:lineRule="auto"/>
        <w:ind w:firstLine="422" w:firstLineChars="201"/>
        <w:rPr>
          <w:rFonts w:ascii="Times New Roman" w:hAnsi="Times New Roman"/>
          <w:color w:val="auto"/>
          <w:highlight w:val="none"/>
        </w:rPr>
      </w:pPr>
      <w:r>
        <w:rPr>
          <w:rFonts w:ascii="Times New Roman" w:hAnsi="Times New Roman"/>
          <w:color w:val="auto"/>
          <w:highlight w:val="none"/>
        </w:rPr>
        <w:t>机械工程（0802）、电子科学与技术（0809）、控制科学与工程（0811）。</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七，专业核心课程</w:t>
      </w:r>
    </w:p>
    <w:p>
      <w:pPr>
        <w:adjustRightInd w:val="0"/>
        <w:snapToGrid w:val="0"/>
        <w:spacing w:line="360" w:lineRule="auto"/>
        <w:ind w:firstLine="420" w:firstLineChars="200"/>
        <w:rPr>
          <w:rFonts w:ascii="Times New Roman" w:hAnsi="Times New Roman"/>
          <w:snapToGrid w:val="0"/>
          <w:color w:val="auto"/>
          <w:szCs w:val="21"/>
          <w:highlight w:val="none"/>
        </w:rPr>
      </w:pPr>
      <w:r>
        <w:rPr>
          <w:rFonts w:ascii="Times New Roman" w:hAnsi="Times New Roman"/>
          <w:color w:val="auto"/>
          <w:szCs w:val="21"/>
          <w:highlight w:val="none"/>
        </w:rPr>
        <w:t>现代工程制图I/II、工程力学I/II、机械设计基础、程序设计基础、电工与电子学I/II、控制工程基础、嵌入式系统应用、传感器与</w:t>
      </w:r>
      <w:r>
        <w:rPr>
          <w:rFonts w:hint="eastAsia" w:ascii="Times New Roman" w:hAnsi="Times New Roman"/>
          <w:color w:val="auto"/>
          <w:szCs w:val="21"/>
          <w:highlight w:val="none"/>
        </w:rPr>
        <w:t>智能检测</w:t>
      </w:r>
      <w:r>
        <w:rPr>
          <w:rFonts w:ascii="Times New Roman" w:hAnsi="Times New Roman"/>
          <w:color w:val="auto"/>
          <w:szCs w:val="21"/>
          <w:highlight w:val="none"/>
        </w:rPr>
        <w:t>技术、数控机床与编程、机电传动控制、</w:t>
      </w:r>
      <w:r>
        <w:rPr>
          <w:rFonts w:ascii="Times New Roman" w:hAnsi="Times New Roman"/>
          <w:snapToGrid w:val="0"/>
          <w:color w:val="auto"/>
          <w:szCs w:val="21"/>
          <w:highlight w:val="none"/>
        </w:rPr>
        <w:t>现代工程制图测绘、嵌入式系统应用实践、</w:t>
      </w:r>
      <w:r>
        <w:rPr>
          <w:rFonts w:ascii="Times New Roman" w:hAnsi="Times New Roman"/>
          <w:color w:val="auto"/>
          <w:szCs w:val="21"/>
          <w:highlight w:val="none"/>
        </w:rPr>
        <w:t>机械设计课程设计、PLC控制系统设计实践、传感器与测试技术实践、数控加工实践、数控系统实践、</w:t>
      </w:r>
      <w:r>
        <w:rPr>
          <w:rFonts w:ascii="Times New Roman" w:hAnsi="Times New Roman"/>
          <w:snapToGrid w:val="0"/>
          <w:color w:val="auto"/>
          <w:szCs w:val="21"/>
          <w:highlight w:val="none"/>
        </w:rPr>
        <w:t>机电系统设计综合实践。</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八，课程体系构成及学时分配比例（不含第二课堂）</w:t>
      </w:r>
    </w:p>
    <w:tbl>
      <w:tblPr>
        <w:tblStyle w:val="6"/>
        <w:tblW w:w="8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1275"/>
        <w:gridCol w:w="961"/>
        <w:gridCol w:w="962"/>
        <w:gridCol w:w="1098"/>
        <w:gridCol w:w="1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课程类别</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总学分</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总学时</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1456</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160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152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320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val="0"/>
                <w:b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272</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298</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实 践</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22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1000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165</w:t>
            </w:r>
          </w:p>
        </w:tc>
        <w:tc>
          <w:tcPr>
            <w:tcW w:w="961"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=SUM(ABOVE)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100</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w:t>
            </w:r>
          </w:p>
        </w:tc>
        <w:tc>
          <w:tcPr>
            <w:tcW w:w="962"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3560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2334</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Cs w:val="21"/>
                <w:highlight w:val="none"/>
              </w:rPr>
            </w:pPr>
            <w:r>
              <w:rPr>
                <w:rFonts w:hint="eastAsia" w:ascii="宋体" w:hAnsi="宋体" w:cs="宋体"/>
                <w:color w:val="auto"/>
                <w:szCs w:val="21"/>
                <w:highlight w:val="none"/>
              </w:rPr>
              <w:t>理论学时：实践学时（%）</w:t>
            </w:r>
          </w:p>
        </w:tc>
        <w:tc>
          <w:tcPr>
            <w:tcW w:w="53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66：34</w:t>
            </w:r>
          </w:p>
        </w:tc>
      </w:tr>
    </w:tbl>
    <w:p>
      <w:pPr>
        <w:rPr>
          <w:rFonts w:ascii="Times New Roman" w:hAnsi="Times New Roman"/>
          <w:color w:val="auto"/>
          <w:highlight w:val="none"/>
        </w:rPr>
      </w:pPr>
    </w:p>
    <w:p>
      <w:pPr>
        <w:rPr>
          <w:rFonts w:ascii="Times New Roman" w:hAnsi="Times New Roman"/>
          <w:color w:val="auto"/>
          <w:highlight w:val="none"/>
        </w:rPr>
      </w:pPr>
    </w:p>
    <w:p>
      <w:pPr>
        <w:spacing w:line="360" w:lineRule="auto"/>
        <w:rPr>
          <w:rFonts w:ascii="黑体" w:eastAsia="黑体"/>
          <w:b/>
          <w:bCs/>
          <w:color w:val="auto"/>
          <w:szCs w:val="21"/>
          <w:highlight w:val="none"/>
        </w:rPr>
      </w:pPr>
      <w:r>
        <w:rPr>
          <w:rFonts w:ascii="Times New Roman" w:hAnsi="Times New Roman"/>
          <w:color w:val="auto"/>
          <w:highlight w:val="none"/>
        </w:rPr>
        <w:br w:type="page"/>
      </w:r>
      <w:r>
        <w:rPr>
          <w:rFonts w:hint="eastAsia" w:ascii="黑体" w:eastAsia="黑体"/>
          <w:b/>
          <w:bCs/>
          <w:color w:val="auto"/>
          <w:szCs w:val="21"/>
          <w:highlight w:val="none"/>
        </w:rPr>
        <w:t>九，教学安排一览表（1）</w:t>
      </w:r>
    </w:p>
    <w:tbl>
      <w:tblPr>
        <w:tblStyle w:val="6"/>
        <w:tblW w:w="8309" w:type="dxa"/>
        <w:jc w:val="center"/>
        <w:tblLayout w:type="fixed"/>
        <w:tblCellMar>
          <w:top w:w="0" w:type="dxa"/>
          <w:left w:w="0" w:type="dxa"/>
          <w:bottom w:w="0" w:type="dxa"/>
          <w:right w:w="0" w:type="dxa"/>
        </w:tblCellMar>
      </w:tblPr>
      <w:tblGrid>
        <w:gridCol w:w="303"/>
        <w:gridCol w:w="423"/>
        <w:gridCol w:w="548"/>
        <w:gridCol w:w="989"/>
        <w:gridCol w:w="2609"/>
        <w:gridCol w:w="391"/>
        <w:gridCol w:w="540"/>
        <w:gridCol w:w="526"/>
        <w:gridCol w:w="569"/>
        <w:gridCol w:w="434"/>
        <w:gridCol w:w="977"/>
      </w:tblGrid>
      <w:tr>
        <w:tblPrEx>
          <w:tblCellMar>
            <w:top w:w="0" w:type="dxa"/>
            <w:left w:w="0" w:type="dxa"/>
            <w:bottom w:w="0" w:type="dxa"/>
            <w:right w:w="0" w:type="dxa"/>
          </w:tblCellMar>
        </w:tblPrEx>
        <w:trPr>
          <w:trHeight w:val="998"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类</w:t>
            </w:r>
          </w:p>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性</w:t>
            </w:r>
          </w:p>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代</w:t>
            </w:r>
          </w:p>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p>
            <w:pPr>
              <w:jc w:val="center"/>
              <w:rPr>
                <w:rFonts w:ascii="宋体" w:hAnsi="宋体"/>
                <w:b/>
                <w:color w:val="auto"/>
                <w:sz w:val="20"/>
                <w:szCs w:val="20"/>
                <w:highlight w:val="none"/>
              </w:rPr>
            </w:pPr>
            <w:r>
              <w:rPr>
                <w:rFonts w:hint="eastAsia" w:ascii="宋体" w:hAnsi="宋体"/>
                <w:b/>
                <w:color w:val="auto"/>
                <w:sz w:val="20"/>
                <w:szCs w:val="20"/>
                <w:highlight w:val="none"/>
              </w:rPr>
              <w:t>核</w:t>
            </w:r>
          </w:p>
          <w:p>
            <w:pPr>
              <w:jc w:val="center"/>
              <w:rPr>
                <w:rFonts w:ascii="宋体" w:hAnsi="宋体"/>
                <w:b/>
                <w:color w:val="auto"/>
                <w:sz w:val="20"/>
                <w:szCs w:val="20"/>
                <w:highlight w:val="none"/>
              </w:rPr>
            </w:pPr>
            <w:r>
              <w:rPr>
                <w:rFonts w:hint="eastAsia" w:ascii="宋体" w:hAnsi="宋体"/>
                <w:b/>
                <w:color w:val="auto"/>
                <w:sz w:val="20"/>
                <w:szCs w:val="20"/>
                <w:highlight w:val="none"/>
              </w:rPr>
              <w:t>方</w:t>
            </w:r>
          </w:p>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p>
            <w:pPr>
              <w:jc w:val="center"/>
              <w:rPr>
                <w:rFonts w:ascii="宋体" w:hAnsi="宋体"/>
                <w:b/>
                <w:color w:val="auto"/>
                <w:sz w:val="20"/>
                <w:szCs w:val="20"/>
                <w:highlight w:val="none"/>
              </w:rPr>
            </w:pPr>
            <w:r>
              <w:rPr>
                <w:rFonts w:hint="eastAsia" w:ascii="宋体" w:hAnsi="宋体"/>
                <w:b/>
                <w:color w:val="auto"/>
                <w:sz w:val="20"/>
                <w:szCs w:val="20"/>
                <w:highlight w:val="none"/>
              </w:rPr>
              <w:t>论</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top w:val="single" w:color="auto" w:sz="4" w:space="0"/>
              <w:left w:val="nil"/>
              <w:right w:val="single" w:color="auto" w:sz="4" w:space="0"/>
            </w:tcBorders>
            <w:shd w:val="clear" w:color="auto" w:fill="auto"/>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p>
            <w:pPr>
              <w:jc w:val="center"/>
              <w:rPr>
                <w:rFonts w:ascii="宋体" w:hAnsi="宋体"/>
                <w:b/>
                <w:color w:val="auto"/>
                <w:sz w:val="20"/>
                <w:szCs w:val="20"/>
                <w:highlight w:val="none"/>
              </w:rPr>
            </w:pPr>
            <w:r>
              <w:rPr>
                <w:rFonts w:hint="eastAsia" w:ascii="宋体" w:hAnsi="宋体"/>
                <w:b/>
                <w:color w:val="auto"/>
                <w:sz w:val="20"/>
                <w:szCs w:val="20"/>
                <w:highlight w:val="none"/>
              </w:rPr>
              <w:t>践</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建议</w:t>
            </w:r>
          </w:p>
          <w:p>
            <w:pPr>
              <w:jc w:val="center"/>
              <w:rPr>
                <w:rFonts w:ascii="宋体" w:hAnsi="宋体"/>
                <w:b/>
                <w:color w:val="auto"/>
                <w:sz w:val="20"/>
                <w:szCs w:val="20"/>
                <w:highlight w:val="none"/>
              </w:rPr>
            </w:pPr>
            <w:r>
              <w:rPr>
                <w:rFonts w:hint="eastAsia" w:ascii="宋体" w:hAnsi="宋体"/>
                <w:b/>
                <w:color w:val="auto"/>
                <w:sz w:val="20"/>
                <w:szCs w:val="20"/>
                <w:highlight w:val="none"/>
              </w:rPr>
              <w:t>修读</w:t>
            </w:r>
          </w:p>
          <w:p>
            <w:pPr>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99"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公</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共</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基</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础</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89"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6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b1080009</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52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b1080010</w:t>
            </w:r>
          </w:p>
        </w:tc>
        <w:tc>
          <w:tcPr>
            <w:tcW w:w="260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52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Arial"/>
                <w:color w:val="auto"/>
                <w:kern w:val="0"/>
                <w:sz w:val="20"/>
                <w:szCs w:val="20"/>
                <w:highlight w:val="none"/>
              </w:rPr>
              <w:t>b1080011</w:t>
            </w:r>
          </w:p>
        </w:tc>
        <w:tc>
          <w:tcPr>
            <w:tcW w:w="260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b1080008</w:t>
            </w:r>
          </w:p>
        </w:tc>
        <w:tc>
          <w:tcPr>
            <w:tcW w:w="2609"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ascii="宋体" w:hAnsi="宋体" w:cs="Arial"/>
                <w:color w:val="auto"/>
                <w:sz w:val="20"/>
                <w:szCs w:val="20"/>
                <w:highlight w:val="none"/>
              </w:rPr>
              <w:t>b1110004</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Arial"/>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b1020080</w:t>
            </w:r>
            <w:r>
              <w:rPr>
                <w:rFonts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b1020081</w:t>
            </w:r>
            <w:r>
              <w:rPr>
                <w:rFonts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b1020012</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b1020013</w:t>
            </w:r>
            <w:r>
              <w:rPr>
                <w:rFonts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83"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ascii="宋体" w:hAnsi="宋体" w:cs="Arial"/>
                <w:color w:val="auto"/>
                <w:sz w:val="20"/>
                <w:szCs w:val="20"/>
                <w:highlight w:val="none"/>
              </w:rPr>
              <w:t>b1020076</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Arial"/>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34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s="宋体"/>
                <w:color w:val="auto"/>
                <w:sz w:val="20"/>
                <w:szCs w:val="20"/>
                <w:highlight w:val="none"/>
              </w:rPr>
              <w:t>数统</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ascii="宋体" w:hAnsi="宋体" w:eastAsia="宋体" w:cs="宋体"/>
                <w:color w:val="auto"/>
                <w:sz w:val="20"/>
                <w:szCs w:val="20"/>
                <w:highlight w:val="none"/>
              </w:rPr>
              <w:t>b1020023</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Arial"/>
                <w:color w:val="auto"/>
                <w:sz w:val="20"/>
                <w:szCs w:val="20"/>
                <w:highlight w:val="none"/>
              </w:rPr>
            </w:pPr>
            <w:r>
              <w:rPr>
                <w:rFonts w:hint="eastAsia" w:ascii="宋体" w:hAnsi="宋体" w:cs="宋体"/>
                <w:color w:val="auto"/>
                <w:sz w:val="20"/>
                <w:szCs w:val="20"/>
                <w:highlight w:val="none"/>
              </w:rPr>
              <w:t>复变函数与积分变换</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b1020062</w:t>
            </w:r>
            <w:r>
              <w:rPr>
                <w:rFonts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Arial"/>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b1020065</w:t>
            </w:r>
            <w:r>
              <w:rPr>
                <w:rFonts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Arial"/>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w:t>
            </w:r>
            <w:r>
              <w:rPr>
                <w:rFonts w:ascii="宋体" w:hAnsi="宋体" w:cs="Arial"/>
                <w:color w:val="auto"/>
                <w:sz w:val="20"/>
                <w:szCs w:val="20"/>
                <w:highlight w:val="none"/>
              </w:rPr>
              <w:t>111</w:t>
            </w:r>
            <w:r>
              <w:rPr>
                <w:rFonts w:hint="eastAsia" w:ascii="宋体" w:hAnsi="宋体" w:cs="Arial"/>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Arial"/>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资环</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宋体"/>
                <w:color w:val="auto"/>
                <w:sz w:val="20"/>
                <w:szCs w:val="20"/>
                <w:highlight w:val="none"/>
              </w:rPr>
              <w:t>b1013001-</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Arial"/>
                <w:color w:val="auto"/>
                <w:sz w:val="20"/>
                <w:szCs w:val="20"/>
                <w:highlight w:val="none"/>
              </w:rPr>
              <w:t>大学化学</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w:t>
            </w:r>
            <w:r>
              <w:rPr>
                <w:rFonts w:ascii="宋体" w:hAnsi="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b1020018</w:t>
            </w:r>
          </w:p>
        </w:tc>
        <w:tc>
          <w:tcPr>
            <w:tcW w:w="2609" w:type="dxa"/>
            <w:tcBorders>
              <w:top w:val="nil"/>
              <w:left w:val="nil"/>
              <w:bottom w:val="single" w:color="auto" w:sz="4" w:space="0"/>
              <w:right w:val="single" w:color="auto" w:sz="4" w:space="0"/>
            </w:tcBorders>
            <w:shd w:val="clear" w:color="auto" w:fill="auto"/>
            <w:vAlign w:val="center"/>
          </w:tcPr>
          <w:p>
            <w:pPr>
              <w:jc w:val="left"/>
              <w:rPr>
                <w:rFonts w:ascii="宋体" w:hAnsi="宋体" w:cs="Arial"/>
                <w:color w:val="auto"/>
                <w:sz w:val="20"/>
                <w:szCs w:val="20"/>
                <w:highlight w:val="none"/>
              </w:rPr>
            </w:pPr>
            <w:r>
              <w:rPr>
                <w:rFonts w:hint="eastAsia" w:ascii="宋体" w:hAnsi="宋体" w:cs="宋体"/>
                <w:color w:val="auto"/>
                <w:kern w:val="0"/>
                <w:sz w:val="20"/>
                <w:szCs w:val="20"/>
                <w:highlight w:val="none"/>
              </w:rPr>
              <w:t>大学语文</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体育</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0</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8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09"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军事理论</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b1020096</w:t>
            </w:r>
            <w:r>
              <w:rPr>
                <w:rFonts w:ascii="宋体" w:hAnsi="宋体" w:cs="Arial"/>
                <w:color w:val="auto"/>
                <w:sz w:val="20"/>
                <w:szCs w:val="20"/>
                <w:highlight w:val="none"/>
              </w:rPr>
              <w:t>-</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通用德语</w:t>
            </w:r>
            <w:r>
              <w:rPr>
                <w:rFonts w:ascii="宋体" w:hAnsi="宋体"/>
                <w:color w:val="auto"/>
                <w:sz w:val="20"/>
                <w:szCs w:val="20"/>
                <w:highlight w:val="none"/>
              </w:rPr>
              <w:t>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144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144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w:t>
            </w:r>
            <w:r>
              <w:rPr>
                <w:rFonts w:ascii="宋体" w:hAnsi="宋体" w:cs="宋体"/>
                <w:color w:val="auto"/>
                <w:sz w:val="20"/>
                <w:szCs w:val="20"/>
                <w:highlight w:val="none"/>
              </w:rPr>
              <w:t>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b1020097</w:t>
            </w:r>
            <w:r>
              <w:rPr>
                <w:rFonts w:ascii="宋体" w:hAnsi="宋体" w:cs="Arial"/>
                <w:color w:val="auto"/>
                <w:sz w:val="20"/>
                <w:szCs w:val="20"/>
                <w:highlight w:val="none"/>
              </w:rPr>
              <w:t>-</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通用德语</w:t>
            </w:r>
            <w:r>
              <w:rPr>
                <w:rFonts w:ascii="宋体" w:hAnsi="宋体"/>
                <w:color w:val="auto"/>
                <w:sz w:val="20"/>
                <w:szCs w:val="20"/>
                <w:highlight w:val="none"/>
              </w:rPr>
              <w:t>II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144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144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w:t>
            </w:r>
            <w:r>
              <w:rPr>
                <w:rFonts w:ascii="宋体" w:hAnsi="宋体" w:cs="宋体"/>
                <w:color w:val="auto"/>
                <w:sz w:val="20"/>
                <w:szCs w:val="20"/>
                <w:highlight w:val="none"/>
              </w:rPr>
              <w:t>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b102004</w:t>
            </w:r>
            <w:r>
              <w:rPr>
                <w:rFonts w:ascii="宋体" w:hAnsi="宋体" w:cs="Arial"/>
                <w:color w:val="auto"/>
                <w:sz w:val="20"/>
                <w:szCs w:val="20"/>
                <w:highlight w:val="none"/>
              </w:rPr>
              <w:t>8-</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通用德语III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112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112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w:t>
            </w:r>
            <w:r>
              <w:rPr>
                <w:rFonts w:ascii="宋体" w:hAnsi="宋体" w:cs="宋体"/>
                <w:color w:val="auto"/>
                <w:sz w:val="20"/>
                <w:szCs w:val="20"/>
                <w:highlight w:val="none"/>
              </w:rPr>
              <w:t>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highlight w:val="none"/>
              </w:rPr>
            </w:pPr>
            <w:r>
              <w:rPr>
                <w:rFonts w:hint="eastAsia" w:ascii="宋体" w:hAnsi="宋体" w:cs="Arial"/>
                <w:color w:val="auto"/>
                <w:sz w:val="20"/>
                <w:szCs w:val="20"/>
                <w:highlight w:val="none"/>
              </w:rPr>
              <w:t>b102004</w:t>
            </w:r>
            <w:r>
              <w:rPr>
                <w:rFonts w:ascii="宋体" w:hAnsi="宋体" w:cs="Arial"/>
                <w:color w:val="auto"/>
                <w:sz w:val="20"/>
                <w:szCs w:val="20"/>
                <w:highlight w:val="none"/>
              </w:rPr>
              <w:t>6-</w:t>
            </w:r>
          </w:p>
        </w:tc>
        <w:tc>
          <w:tcPr>
            <w:tcW w:w="260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 w:val="20"/>
                <w:szCs w:val="20"/>
                <w:highlight w:val="none"/>
              </w:rPr>
            </w:pPr>
            <w:r>
              <w:rPr>
                <w:rFonts w:hint="eastAsia" w:ascii="宋体" w:hAnsi="宋体"/>
                <w:color w:val="auto"/>
                <w:sz w:val="20"/>
                <w:szCs w:val="20"/>
                <w:highlight w:val="none"/>
              </w:rPr>
              <w:t>通用德语IV</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112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112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w:t>
            </w:r>
            <w:r>
              <w:rPr>
                <w:rFonts w:ascii="宋体" w:hAnsi="宋体" w:cs="宋体"/>
                <w:color w:val="auto"/>
                <w:sz w:val="20"/>
                <w:szCs w:val="20"/>
                <w:highlight w:val="none"/>
              </w:rPr>
              <w:t>2</w:t>
            </w:r>
          </w:p>
        </w:tc>
      </w:tr>
      <w:tr>
        <w:tblPrEx>
          <w:tblCellMar>
            <w:top w:w="0" w:type="dxa"/>
            <w:left w:w="0" w:type="dxa"/>
            <w:bottom w:w="0" w:type="dxa"/>
            <w:right w:w="0" w:type="dxa"/>
          </w:tblCellMar>
        </w:tblPrEx>
        <w:trPr>
          <w:trHeight w:val="43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48"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989"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09"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60.5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1456</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1370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86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31"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通</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识</w:t>
            </w:r>
          </w:p>
          <w:p>
            <w:pPr>
              <w:spacing w:line="240" w:lineRule="exact"/>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选</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计信</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b1012001</w:t>
            </w:r>
          </w:p>
        </w:tc>
        <w:tc>
          <w:tcPr>
            <w:tcW w:w="2609"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24"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选</w:t>
            </w:r>
          </w:p>
        </w:tc>
        <w:tc>
          <w:tcPr>
            <w:tcW w:w="54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资环</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b1013002</w:t>
            </w:r>
          </w:p>
        </w:tc>
        <w:tc>
          <w:tcPr>
            <w:tcW w:w="2609"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472"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54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艺术中心</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宋体"/>
                <w:color w:val="auto"/>
                <w:kern w:val="0"/>
                <w:sz w:val="20"/>
                <w:szCs w:val="20"/>
                <w:highlight w:val="none"/>
              </w:rPr>
            </w:pPr>
            <w:r>
              <w:rPr>
                <w:rFonts w:hint="eastAsia" w:ascii="宋体" w:hAnsi="宋体" w:cs="Arial"/>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356"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548"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各学院</w:t>
            </w:r>
          </w:p>
        </w:tc>
        <w:tc>
          <w:tcPr>
            <w:tcW w:w="98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Arial"/>
                <w:color w:val="auto"/>
                <w:kern w:val="0"/>
                <w:sz w:val="20"/>
                <w:szCs w:val="20"/>
                <w:highlight w:val="none"/>
              </w:rPr>
            </w:pPr>
            <w:r>
              <w:rPr>
                <w:rFonts w:hint="eastAsia" w:ascii="宋体" w:hAnsi="宋体" w:cs="Arial"/>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367"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p>
        </w:tc>
        <w:tc>
          <w:tcPr>
            <w:tcW w:w="548"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p>
        </w:tc>
        <w:tc>
          <w:tcPr>
            <w:tcW w:w="98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2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s="Arial"/>
                <w:color w:val="auto"/>
                <w:kern w:val="0"/>
                <w:sz w:val="20"/>
                <w:szCs w:val="20"/>
                <w:highlight w:val="none"/>
              </w:rPr>
            </w:pPr>
            <w:r>
              <w:rPr>
                <w:rFonts w:hint="eastAsia" w:ascii="宋体" w:hAnsi="宋体" w:cs="Arial"/>
                <w:color w:val="auto"/>
                <w:kern w:val="0"/>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416"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48"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989"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09"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olor w:val="auto"/>
                <w:sz w:val="20"/>
                <w:szCs w:val="20"/>
                <w:highlight w:val="none"/>
                <w:lang w:val="en-US" w:eastAsia="zh-CN"/>
              </w:rPr>
            </w:pPr>
            <w:r>
              <w:rPr>
                <w:rFonts w:hint="eastAsia" w:ascii="宋体" w:hAnsi="宋体"/>
                <w:b/>
                <w:bCs/>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highlight w:val="none"/>
              </w:rPr>
            </w:pPr>
          </w:p>
        </w:tc>
      </w:tr>
    </w:tbl>
    <w:p>
      <w:pPr>
        <w:spacing w:line="360" w:lineRule="auto"/>
        <w:rPr>
          <w:rFonts w:ascii="黑体" w:hAnsi="黑体" w:eastAsia="黑体"/>
          <w:b/>
          <w:bCs/>
          <w:color w:val="auto"/>
          <w:highlight w:val="none"/>
        </w:rPr>
      </w:pPr>
    </w:p>
    <w:p>
      <w:pPr>
        <w:spacing w:line="360" w:lineRule="auto"/>
        <w:rPr>
          <w:rFonts w:ascii="Times New Roman" w:hAnsi="Times New Roman" w:eastAsia="黑体"/>
          <w:b/>
          <w:bCs/>
          <w:color w:val="auto"/>
          <w:highlight w:val="none"/>
        </w:rPr>
      </w:pPr>
    </w:p>
    <w:p>
      <w:pPr>
        <w:spacing w:line="360" w:lineRule="auto"/>
        <w:rPr>
          <w:rFonts w:ascii="黑体" w:eastAsia="黑体"/>
          <w:b/>
          <w:bCs/>
          <w:color w:val="auto"/>
          <w:szCs w:val="21"/>
          <w:highlight w:val="none"/>
        </w:rPr>
      </w:pPr>
      <w:r>
        <w:rPr>
          <w:rFonts w:hint="eastAsia" w:ascii="黑体" w:eastAsia="黑体"/>
          <w:b/>
          <w:bCs/>
          <w:color w:val="auto"/>
          <w:szCs w:val="21"/>
          <w:highlight w:val="none"/>
        </w:rPr>
        <w:t>九，教学安排一览表（2）</w:t>
      </w:r>
    </w:p>
    <w:tbl>
      <w:tblPr>
        <w:tblStyle w:val="6"/>
        <w:tblW w:w="7933"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971"/>
        <w:gridCol w:w="2693"/>
        <w:gridCol w:w="541"/>
        <w:gridCol w:w="504"/>
        <w:gridCol w:w="491"/>
        <w:gridCol w:w="532"/>
        <w:gridCol w:w="406"/>
        <w:gridCol w:w="644"/>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7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693"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541"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91"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4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7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4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9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71" w:type="dxa"/>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693"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4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7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3"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p>
        </w:tc>
        <w:tc>
          <w:tcPr>
            <w:tcW w:w="541"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91"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4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工</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b2011246</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现代工程制图</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b2011397</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bCs/>
                <w:color w:val="auto"/>
                <w:sz w:val="20"/>
                <w:szCs w:val="20"/>
                <w:highlight w:val="none"/>
              </w:rPr>
            </w:pPr>
            <w:r>
              <w:rPr>
                <w:rFonts w:hint="eastAsia" w:ascii="宋体" w:hAnsi="宋体" w:cs="宋体"/>
                <w:color w:val="auto"/>
                <w:sz w:val="20"/>
                <w:szCs w:val="20"/>
                <w:highlight w:val="none"/>
              </w:rPr>
              <w:t>工程材料基础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b2011049</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工程力学I</w:t>
            </w:r>
          </w:p>
        </w:tc>
        <w:tc>
          <w:tcPr>
            <w:tcW w:w="54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b2011050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工程力学II</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b2011521</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bCs/>
                <w:color w:val="auto"/>
                <w:sz w:val="20"/>
                <w:szCs w:val="20"/>
                <w:highlight w:val="none"/>
              </w:rPr>
            </w:pPr>
            <w:r>
              <w:rPr>
                <w:rFonts w:hint="eastAsia" w:ascii="宋体" w:hAnsi="宋体" w:cs="宋体"/>
                <w:bCs/>
                <w:color w:val="auto"/>
                <w:sz w:val="20"/>
                <w:szCs w:val="20"/>
                <w:highlight w:val="none"/>
              </w:rPr>
              <w:t>热工与流体力学基础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ascii="宋体" w:hAnsi="宋体" w:cs="宋体"/>
                <w:color w:val="auto"/>
                <w:sz w:val="20"/>
                <w:szCs w:val="20"/>
                <w:highlight w:val="none"/>
              </w:rPr>
              <w:t>b2090015</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电工与电子学</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80</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422"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971" w:type="dxa"/>
            <w:tcBorders>
              <w:top w:val="single" w:color="auto" w:sz="4" w:space="0"/>
              <w:left w:val="nil"/>
              <w:bottom w:val="single" w:color="auto" w:sz="4" w:space="0"/>
            </w:tcBorders>
            <w:shd w:val="clear" w:color="auto" w:fill="D8D8D8" w:themeFill="background1" w:themeFillShade="D9"/>
            <w:vAlign w:val="center"/>
          </w:tcPr>
          <w:p>
            <w:pPr>
              <w:snapToGrid w:val="0"/>
              <w:jc w:val="center"/>
              <w:rPr>
                <w:rFonts w:ascii="宋体" w:hAnsi="宋体" w:cs="宋体"/>
                <w:color w:val="auto"/>
                <w:sz w:val="20"/>
                <w:szCs w:val="20"/>
                <w:highlight w:val="none"/>
              </w:rPr>
            </w:pPr>
          </w:p>
        </w:tc>
        <w:tc>
          <w:tcPr>
            <w:tcW w:w="2693"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ind w:left="-1"/>
              <w:jc w:val="left"/>
              <w:rPr>
                <w:rFonts w:ascii="宋体" w:hAnsi="宋体" w:cs="宋体"/>
                <w:color w:val="auto"/>
                <w:sz w:val="20"/>
                <w:szCs w:val="20"/>
                <w:highlight w:val="none"/>
              </w:rPr>
            </w:pPr>
            <w:r>
              <w:rPr>
                <w:rFonts w:hint="eastAsia" w:ascii="宋体" w:hAnsi="宋体" w:cs="宋体"/>
                <w:b/>
                <w:color w:val="auto"/>
                <w:sz w:val="20"/>
                <w:szCs w:val="20"/>
                <w:highlight w:val="none"/>
              </w:rPr>
              <w:t>小  计（工程基础课）</w:t>
            </w:r>
          </w:p>
        </w:tc>
        <w:tc>
          <w:tcPr>
            <w:tcW w:w="54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272</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48</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b2011237</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s="宋体"/>
                <w:color w:val="auto"/>
                <w:sz w:val="20"/>
                <w:szCs w:val="20"/>
                <w:highlight w:val="none"/>
              </w:rPr>
            </w:pPr>
            <w:r>
              <w:rPr>
                <w:rFonts w:hint="eastAsia" w:ascii="宋体" w:hAnsi="宋体" w:cs="宋体"/>
                <w:color w:val="auto"/>
                <w:sz w:val="20"/>
                <w:szCs w:val="20"/>
                <w:highlight w:val="none"/>
              </w:rPr>
              <w:t>机械电子工程专业导论</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91"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ascii="宋体" w:hAnsi="宋体" w:cs="宋体"/>
                <w:color w:val="auto"/>
                <w:sz w:val="20"/>
                <w:szCs w:val="20"/>
                <w:highlight w:val="none"/>
              </w:rPr>
              <w:t>b2011315</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highlight w:val="none"/>
              </w:rPr>
            </w:pPr>
            <w:r>
              <w:rPr>
                <w:rFonts w:hint="eastAsia" w:ascii="宋体" w:hAnsi="宋体" w:cs="宋体"/>
                <w:color w:val="auto"/>
                <w:sz w:val="20"/>
                <w:szCs w:val="20"/>
                <w:highlight w:val="none"/>
              </w:rPr>
              <w:t>程序设计基础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p>
            <w:pPr>
              <w:snapToGrid w:val="0"/>
              <w:jc w:val="center"/>
              <w:rPr>
                <w:rFonts w:ascii="宋体" w:hAnsi="宋体" w:cs="宋体"/>
                <w:color w:val="auto"/>
                <w:sz w:val="20"/>
                <w:szCs w:val="20"/>
                <w:highlight w:val="none"/>
              </w:rPr>
            </w:pPr>
          </w:p>
          <w:p>
            <w:pPr>
              <w:snapToGrid w:val="0"/>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b2011345</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b2011080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b2011152</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液压与气压传动</w:t>
            </w:r>
          </w:p>
        </w:tc>
        <w:tc>
          <w:tcPr>
            <w:tcW w:w="54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b2011090</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highlight w:val="none"/>
              </w:rPr>
            </w:pPr>
            <w:r>
              <w:rPr>
                <w:rFonts w:hint="eastAsia" w:ascii="宋体" w:hAnsi="宋体" w:cs="宋体"/>
                <w:color w:val="auto"/>
                <w:sz w:val="20"/>
                <w:szCs w:val="20"/>
                <w:highlight w:val="none"/>
              </w:rPr>
              <w:t>控制工程基础</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nil"/>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b2011143</w:t>
            </w:r>
          </w:p>
        </w:tc>
        <w:tc>
          <w:tcPr>
            <w:tcW w:w="269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541"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415"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971" w:type="dxa"/>
            <w:tcBorders>
              <w:top w:val="single" w:color="auto" w:sz="4" w:space="0"/>
              <w:bottom w:val="single" w:color="auto" w:sz="4" w:space="0"/>
            </w:tcBorders>
            <w:shd w:val="clear" w:color="auto" w:fill="D8D8D8" w:themeFill="background1" w:themeFillShade="D9"/>
            <w:vAlign w:val="center"/>
          </w:tcPr>
          <w:p>
            <w:pPr>
              <w:snapToGrid w:val="0"/>
              <w:jc w:val="center"/>
              <w:rPr>
                <w:rFonts w:ascii="宋体" w:hAnsi="宋体" w:cs="宋体"/>
                <w:color w:val="auto"/>
                <w:sz w:val="20"/>
                <w:szCs w:val="20"/>
                <w:highlight w:val="none"/>
              </w:rPr>
            </w:pP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cs="宋体"/>
                <w:b/>
                <w:color w:val="auto"/>
                <w:sz w:val="20"/>
                <w:szCs w:val="20"/>
                <w:highlight w:val="none"/>
              </w:rPr>
            </w:pPr>
            <w:r>
              <w:rPr>
                <w:rFonts w:hint="eastAsia" w:ascii="宋体" w:hAnsi="宋体" w:cs="宋体"/>
                <w:b/>
                <w:color w:val="auto"/>
                <w:sz w:val="20"/>
                <w:szCs w:val="20"/>
                <w:highlight w:val="none"/>
              </w:rPr>
              <w:t>小  计（专业基础课）</w:t>
            </w:r>
          </w:p>
        </w:tc>
        <w:tc>
          <w:tcPr>
            <w:tcW w:w="541"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17</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242</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30</w:t>
            </w:r>
          </w:p>
        </w:tc>
        <w:tc>
          <w:tcPr>
            <w:tcW w:w="644" w:type="dxa"/>
            <w:tcBorders>
              <w:top w:val="nil"/>
              <w:left w:val="nil"/>
              <w:bottom w:val="single" w:color="auto" w:sz="4" w:space="0"/>
              <w:right w:val="single" w:color="auto" w:sz="4" w:space="0"/>
            </w:tcBorders>
            <w:shd w:val="clear" w:color="auto" w:fill="D8D8D8" w:themeFill="background1" w:themeFillShade="D9"/>
          </w:tcPr>
          <w:p>
            <w:pPr>
              <w:widowControl/>
              <w:jc w:val="center"/>
              <w:rPr>
                <w:rFonts w:ascii="宋体" w:hAnsi="宋体" w:cs="宋体"/>
                <w:b/>
                <w:color w:val="auto"/>
                <w:kern w:val="0"/>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b2011443</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嵌入式系统应用</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b2011562</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机床电气与PLC控制</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92"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strike/>
                <w:color w:val="auto"/>
                <w:sz w:val="20"/>
                <w:szCs w:val="20"/>
                <w:highlight w:val="none"/>
              </w:rPr>
            </w:pPr>
            <w:r>
              <w:rPr>
                <w:rFonts w:hint="eastAsia" w:ascii="宋体" w:hAnsi="宋体"/>
                <w:color w:val="auto"/>
                <w:sz w:val="20"/>
                <w:szCs w:val="20"/>
                <w:highlight w:val="none"/>
              </w:rPr>
              <w:t>b2011561</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strike/>
                <w:color w:val="auto"/>
                <w:sz w:val="20"/>
                <w:szCs w:val="20"/>
                <w:highlight w:val="none"/>
              </w:rPr>
            </w:pPr>
            <w:r>
              <w:rPr>
                <w:rFonts w:hint="eastAsia" w:ascii="宋体" w:hAnsi="宋体" w:cs="宋体"/>
                <w:color w:val="auto"/>
                <w:sz w:val="20"/>
                <w:szCs w:val="20"/>
                <w:highlight w:val="none"/>
              </w:rPr>
              <w:t>传感器与智能检测技术</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b2011119</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数控机床与编程</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b2011562</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机电传动控制</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b2011446</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工业机器人技术</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b2011520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tcPr>
          <w:p>
            <w:pPr>
              <w:pStyle w:val="9"/>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971"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cs="宋体"/>
                <w:b/>
                <w:color w:val="auto"/>
                <w:sz w:val="20"/>
                <w:szCs w:val="20"/>
                <w:highlight w:val="none"/>
              </w:rPr>
            </w:pPr>
            <w:r>
              <w:rPr>
                <w:rFonts w:hint="eastAsia" w:ascii="宋体" w:hAnsi="宋体" w:cs="宋体"/>
                <w:b/>
                <w:color w:val="auto"/>
                <w:sz w:val="20"/>
                <w:szCs w:val="20"/>
                <w:highlight w:val="none"/>
              </w:rPr>
              <w:t>小  计（专业必修课）</w:t>
            </w:r>
          </w:p>
        </w:tc>
        <w:tc>
          <w:tcPr>
            <w:tcW w:w="541"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14</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224</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190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34</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restart"/>
            <w:tcBorders>
              <w:top w:val="nil"/>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修</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b2011530</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Python程序设计</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b2011331</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机器视觉技术及应用</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b2011447</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Matlab及机电系统仿真</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b2011251</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智能制造概论</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b2011156</w:t>
            </w:r>
          </w:p>
        </w:tc>
        <w:tc>
          <w:tcPr>
            <w:tcW w:w="2693"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有限元分析及实践</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b2011433</w:t>
            </w:r>
          </w:p>
        </w:tc>
        <w:tc>
          <w:tcPr>
            <w:tcW w:w="2693"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智能制造生产管理（MES/ERP）</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FFFFFF" w:themeFill="background1"/>
          </w:tcPr>
          <w:p>
            <w:pPr>
              <w:jc w:val="center"/>
              <w:rPr>
                <w:rFonts w:ascii="宋体" w:hAnsi="宋体" w:cs="宋体"/>
                <w:b/>
                <w:color w:val="auto"/>
                <w:sz w:val="20"/>
                <w:szCs w:val="20"/>
                <w:highlight w:val="none"/>
              </w:rPr>
            </w:pPr>
          </w:p>
        </w:tc>
        <w:tc>
          <w:tcPr>
            <w:tcW w:w="971" w:type="dxa"/>
            <w:tcBorders>
              <w:top w:val="single" w:color="auto" w:sz="4" w:space="0"/>
              <w:bottom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2693"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     计（专业选修课课）</w:t>
            </w:r>
          </w:p>
        </w:tc>
        <w:tc>
          <w:tcPr>
            <w:tcW w:w="54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8</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128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108</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20</w:t>
            </w:r>
          </w:p>
        </w:tc>
        <w:tc>
          <w:tcPr>
            <w:tcW w:w="644"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26"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971"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2693"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小计（专业课）</w:t>
            </w: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298</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54</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szCs w:val="21"/>
          <w:highlight w:val="none"/>
        </w:rPr>
      </w:pPr>
    </w:p>
    <w:p>
      <w:pPr>
        <w:adjustRightInd w:val="0"/>
        <w:snapToGrid w:val="0"/>
        <w:spacing w:line="360" w:lineRule="auto"/>
        <w:rPr>
          <w:rFonts w:ascii="Times New Roman" w:hAnsi="Times New Roman" w:eastAsia="黑体"/>
          <w:b/>
          <w:bCs/>
          <w:color w:val="auto"/>
          <w:highlight w:val="none"/>
        </w:rPr>
      </w:pPr>
      <w:r>
        <w:rPr>
          <w:rFonts w:ascii="Times New Roman" w:hAnsi="Times New Roman" w:eastAsia="黑体"/>
          <w:b/>
          <w:bCs/>
          <w:color w:val="auto"/>
          <w:szCs w:val="21"/>
          <w:highlight w:val="none"/>
        </w:rPr>
        <w:t>九，教学安排一览表（3）</w:t>
      </w:r>
    </w:p>
    <w:tbl>
      <w:tblPr>
        <w:tblStyle w:val="6"/>
        <w:tblW w:w="8310" w:type="dxa"/>
        <w:jc w:val="center"/>
        <w:tblLayout w:type="fixed"/>
        <w:tblCellMar>
          <w:top w:w="0" w:type="dxa"/>
          <w:left w:w="0" w:type="dxa"/>
          <w:bottom w:w="0" w:type="dxa"/>
          <w:right w:w="0" w:type="dxa"/>
        </w:tblCellMar>
      </w:tblPr>
      <w:tblGrid>
        <w:gridCol w:w="305"/>
        <w:gridCol w:w="425"/>
        <w:gridCol w:w="426"/>
        <w:gridCol w:w="1026"/>
        <w:gridCol w:w="2775"/>
        <w:gridCol w:w="451"/>
        <w:gridCol w:w="425"/>
        <w:gridCol w:w="567"/>
        <w:gridCol w:w="511"/>
        <w:gridCol w:w="601"/>
        <w:gridCol w:w="798"/>
      </w:tblGrid>
      <w:tr>
        <w:tblPrEx>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102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77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5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67"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1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60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798"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1026"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77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45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67"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1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60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798"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1026"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775" w:type="dxa"/>
            <w:tcBorders>
              <w:left w:val="nil"/>
              <w:right w:val="single" w:color="auto" w:sz="4" w:space="0"/>
            </w:tcBorders>
            <w:shd w:val="clear" w:color="auto" w:fill="auto"/>
            <w:vAlign w:val="center"/>
          </w:tcPr>
          <w:p>
            <w:pPr>
              <w:adjustRightInd w:val="0"/>
              <w:snapToGrid w:val="0"/>
              <w:rPr>
                <w:rFonts w:ascii="宋体" w:hAnsi="宋体" w:cs="宋体"/>
                <w:b/>
                <w:color w:val="auto"/>
                <w:sz w:val="20"/>
                <w:szCs w:val="20"/>
                <w:highlight w:val="none"/>
              </w:rPr>
            </w:pPr>
          </w:p>
        </w:tc>
        <w:tc>
          <w:tcPr>
            <w:tcW w:w="45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67"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1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0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798"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6"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775" w:type="dxa"/>
            <w:tcBorders>
              <w:left w:val="nil"/>
              <w:bottom w:val="single" w:color="auto" w:sz="4" w:space="0"/>
              <w:right w:val="single" w:color="auto" w:sz="4" w:space="0"/>
            </w:tcBorders>
            <w:shd w:val="clear" w:color="auto" w:fill="auto"/>
            <w:vAlign w:val="center"/>
          </w:tcPr>
          <w:p>
            <w:pPr>
              <w:adjustRightInd w:val="0"/>
              <w:snapToGrid w:val="0"/>
              <w:rPr>
                <w:rFonts w:ascii="宋体" w:hAnsi="宋体" w:cs="宋体"/>
                <w:b/>
                <w:color w:val="auto"/>
                <w:sz w:val="20"/>
                <w:szCs w:val="20"/>
                <w:highlight w:val="none"/>
              </w:rPr>
            </w:pPr>
          </w:p>
        </w:tc>
        <w:tc>
          <w:tcPr>
            <w:tcW w:w="451"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567"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511"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01"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798"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5" w:type="dxa"/>
            <w:vMerge w:val="restart"/>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b4011088</w:t>
            </w:r>
          </w:p>
        </w:tc>
        <w:tc>
          <w:tcPr>
            <w:tcW w:w="277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现代工程制图测绘</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b4011106</w:t>
            </w:r>
          </w:p>
        </w:tc>
        <w:tc>
          <w:tcPr>
            <w:tcW w:w="277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b4011357</w:t>
            </w:r>
          </w:p>
        </w:tc>
        <w:tc>
          <w:tcPr>
            <w:tcW w:w="277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电工电子学综合实践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b4090005</w:t>
            </w:r>
          </w:p>
        </w:tc>
        <w:tc>
          <w:tcPr>
            <w:tcW w:w="277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电工学技能实习</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b4011310</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嵌入式系统应用实践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b4011043</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b4011311</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b4011345</w:t>
            </w:r>
          </w:p>
        </w:tc>
        <w:tc>
          <w:tcPr>
            <w:tcW w:w="277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数控系统实践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b4011403</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计算机辅助设计与制造</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5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b4000011</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机械电子工程专业创新创业</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b4011356</w:t>
            </w:r>
          </w:p>
        </w:tc>
        <w:tc>
          <w:tcPr>
            <w:tcW w:w="277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数控设备故障分析与维修实践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b4011312</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PLC控制系统设计实践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62"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b4011405</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b4011317</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机电系统设计综合实践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b4011314</w:t>
            </w:r>
          </w:p>
        </w:tc>
        <w:tc>
          <w:tcPr>
            <w:tcW w:w="277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工业机器人应用实践</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545" w:hRule="exact"/>
          <w:jc w:val="center"/>
        </w:trPr>
        <w:tc>
          <w:tcPr>
            <w:tcW w:w="30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b4011246</w:t>
            </w:r>
          </w:p>
        </w:tc>
        <w:tc>
          <w:tcPr>
            <w:tcW w:w="2775" w:type="dxa"/>
            <w:tcBorders>
              <w:top w:val="nil"/>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机械电子工程专业毕业实习与毕业设计（论文）</w:t>
            </w:r>
          </w:p>
        </w:tc>
        <w:tc>
          <w:tcPr>
            <w:tcW w:w="45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tblCellMar>
            <w:top w:w="0" w:type="dxa"/>
            <w:left w:w="0" w:type="dxa"/>
            <w:bottom w:w="0" w:type="dxa"/>
            <w:right w:w="0" w:type="dxa"/>
          </w:tblCellMar>
        </w:tblPrEx>
        <w:trPr>
          <w:trHeight w:val="277" w:hRule="exac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kern w:val="0"/>
                <w:sz w:val="20"/>
                <w:szCs w:val="20"/>
                <w:highlight w:val="none"/>
              </w:rPr>
            </w:pPr>
          </w:p>
        </w:tc>
        <w:tc>
          <w:tcPr>
            <w:tcW w:w="426" w:type="dxa"/>
            <w:tcBorders>
              <w:top w:val="single" w:color="auto" w:sz="4" w:space="0"/>
              <w:left w:val="nil"/>
              <w:bottom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kern w:val="0"/>
                <w:sz w:val="20"/>
                <w:szCs w:val="20"/>
                <w:highlight w:val="none"/>
              </w:rPr>
            </w:pPr>
          </w:p>
        </w:tc>
        <w:tc>
          <w:tcPr>
            <w:tcW w:w="380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计（专业实践）</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left"/>
              <w:rPr>
                <w:rFonts w:ascii="宋体" w:hAnsi="宋体" w:cs="宋体"/>
                <w:b/>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35.5</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1000</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bCs/>
                <w:color w:val="auto"/>
                <w:sz w:val="20"/>
                <w:szCs w:val="20"/>
                <w:highlight w:val="none"/>
              </w:rPr>
            </w:pPr>
          </w:p>
        </w:tc>
        <w:tc>
          <w:tcPr>
            <w:tcW w:w="6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1000</w:t>
            </w:r>
          </w:p>
        </w:tc>
        <w:tc>
          <w:tcPr>
            <w:tcW w:w="7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r>
      <w:tr>
        <w:tblPrEx>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b5110001</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567" w:type="dxa"/>
            <w:tcBorders>
              <w:top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6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7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299" w:hRule="exac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总   计</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16</w:t>
            </w:r>
            <w:r>
              <w:rPr>
                <w:rFonts w:hint="eastAsia" w:ascii="宋体" w:hAnsi="宋体" w:cs="宋体"/>
                <w:b/>
                <w:bCs/>
                <w:color w:val="auto"/>
                <w:sz w:val="20"/>
                <w:szCs w:val="20"/>
                <w:highlight w:val="none"/>
                <w:lang w:val="en-US" w:eastAsia="zh-CN"/>
              </w:rPr>
              <w:t>6</w:t>
            </w:r>
            <w:r>
              <w:rPr>
                <w:rFonts w:hint="eastAsia" w:ascii="宋体" w:hAnsi="宋体" w:cs="宋体"/>
                <w:b/>
                <w:bCs/>
                <w:color w:val="auto"/>
                <w:sz w:val="20"/>
                <w:szCs w:val="20"/>
                <w:highlight w:val="none"/>
              </w:rPr>
              <w:t xml:space="preserve"> </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3560</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2334</w:t>
            </w:r>
          </w:p>
        </w:tc>
        <w:tc>
          <w:tcPr>
            <w:tcW w:w="6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lang w:val="en-US" w:eastAsia="zh-CN"/>
              </w:rPr>
              <w:t>1226</w:t>
            </w:r>
          </w:p>
        </w:tc>
        <w:tc>
          <w:tcPr>
            <w:tcW w:w="7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r>
    </w:tbl>
    <w:p>
      <w:pPr>
        <w:adjustRightInd w:val="0"/>
        <w:snapToGrid w:val="0"/>
        <w:rPr>
          <w:rFonts w:ascii="Times New Roman" w:hAnsi="Times New Roman"/>
          <w:b/>
          <w:color w:val="auto"/>
          <w:sz w:val="15"/>
          <w:szCs w:val="15"/>
          <w:highlight w:val="none"/>
        </w:rPr>
      </w:pPr>
    </w:p>
    <w:p>
      <w:pPr>
        <w:adjustRightInd w:val="0"/>
        <w:snapToGrid w:val="0"/>
        <w:rPr>
          <w:rFonts w:ascii="Times New Roman" w:hAnsi="Times New Roman" w:eastAsia="黑体"/>
          <w:b/>
          <w:color w:val="auto"/>
          <w:szCs w:val="21"/>
          <w:highlight w:val="none"/>
        </w:rPr>
      </w:pPr>
      <w:r>
        <w:rPr>
          <w:rFonts w:ascii="Times New Roman" w:hAnsi="Times New Roman" w:eastAsia="黑体"/>
          <w:b/>
          <w:color w:val="auto"/>
          <w:szCs w:val="21"/>
          <w:highlight w:val="none"/>
        </w:rPr>
        <w:t>职业资格证书与课程的关联说明：</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学生通过计算机辅助设计与制造、数控机床装调与维修</w:t>
      </w:r>
      <w:r>
        <w:rPr>
          <w:rFonts w:hint="eastAsia" w:ascii="Times New Roman" w:hAnsi="Times New Roman"/>
          <w:color w:val="auto"/>
          <w:szCs w:val="21"/>
          <w:highlight w:val="none"/>
        </w:rPr>
        <w:t>等</w:t>
      </w:r>
      <w:r>
        <w:rPr>
          <w:rFonts w:ascii="Times New Roman" w:hAnsi="Times New Roman"/>
          <w:color w:val="auto"/>
          <w:szCs w:val="21"/>
          <w:highlight w:val="none"/>
        </w:rPr>
        <w:t>课程的学习，可参加与本专业相关的职业资格证书考核：UG高级、维修电工证（高级）、数控机床装调维修工证（中级）、数控机床装调维修工证（高级）。</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学生取得UG高级证书可以申请计算机辅助设计与制造课程免修并获得相应学分；取得数控机床装调维修工证（高级）资格证书，可申请</w:t>
      </w:r>
      <w:r>
        <w:rPr>
          <w:rFonts w:ascii="Times New Roman" w:hAnsi="Times New Roman"/>
          <w:color w:val="auto"/>
          <w:sz w:val="20"/>
          <w:szCs w:val="20"/>
          <w:highlight w:val="none"/>
        </w:rPr>
        <w:t>数控设备故障分析与维修实践</w:t>
      </w:r>
      <w:r>
        <w:rPr>
          <w:rFonts w:ascii="Times New Roman" w:hAnsi="Times New Roman"/>
          <w:color w:val="auto"/>
          <w:szCs w:val="21"/>
          <w:highlight w:val="none"/>
        </w:rPr>
        <w:t>课程免修并获得相应学分。</w:t>
      </w:r>
    </w:p>
    <w:p>
      <w:pPr>
        <w:adjustRightInd w:val="0"/>
        <w:snapToGrid w:val="0"/>
        <w:ind w:firstLine="420" w:firstLineChars="200"/>
        <w:rPr>
          <w:rFonts w:ascii="Times New Roman" w:hAnsi="Times New Roman"/>
          <w:color w:val="auto"/>
          <w:szCs w:val="21"/>
          <w:highlight w:val="none"/>
        </w:rPr>
      </w:pPr>
    </w:p>
    <w:p>
      <w:pPr>
        <w:adjustRightInd w:val="0"/>
        <w:snapToGrid w:val="0"/>
        <w:spacing w:before="156" w:beforeLines="50"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十，第二课堂学分</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附录二：课程对毕业要求的支撑关系矩阵（H/M/L）</w:t>
      </w:r>
    </w:p>
    <w:tbl>
      <w:tblPr>
        <w:tblStyle w:val="6"/>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adjustRightInd w:val="0"/>
              <w:snapToGrid w:val="0"/>
              <w:jc w:val="center"/>
              <w:rPr>
                <w:rFonts w:ascii="宋体" w:hAnsi="宋体" w:cs="宋体"/>
                <w:b/>
                <w:bCs/>
                <w:color w:val="auto"/>
                <w:sz w:val="20"/>
                <w:szCs w:val="20"/>
                <w:highlight w:val="none"/>
              </w:rPr>
            </w:pPr>
          </w:p>
          <w:p>
            <w:pPr>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09"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49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40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50"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复变函数与积分变换</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机械电子工程专业导论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控制工程基础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嵌入式系统应用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5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机床电气与PLC控制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Matlab及机电系统仿真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智能制造概论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有限元分析及实践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电工电子学综合实践</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电工学技能实习</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机械电子工程专业创新创业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PLC控制系统设计实践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6"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数控系统实践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数控设备故障分析与维修实践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28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机电系统设计综合实践</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64</w:t>
            </w:r>
          </w:p>
        </w:tc>
        <w:tc>
          <w:tcPr>
            <w:tcW w:w="3062" w:type="dxa"/>
            <w:tcBorders>
              <w:top w:val="single" w:color="auto" w:sz="4" w:space="0"/>
              <w:left w:val="nil"/>
              <w:bottom w:val="single" w:color="auto" w:sz="4" w:space="0"/>
              <w:right w:val="single" w:color="auto" w:sz="4" w:space="0"/>
            </w:tcBorders>
            <w:shd w:val="clear" w:color="auto" w:fill="FFFFFF" w:themeFill="background1"/>
            <w:noWrap/>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bl>
    <w:p>
      <w:pPr>
        <w:rPr>
          <w:rFonts w:ascii="Times New Roman" w:hAnsi="Times New Roman"/>
          <w:b/>
          <w:bCs/>
          <w:color w:val="auto"/>
          <w:szCs w:val="21"/>
          <w:highlight w:val="none"/>
        </w:rPr>
      </w:pPr>
    </w:p>
    <w:p>
      <w:pPr>
        <w:rPr>
          <w:rFonts w:ascii="Times New Roman" w:hAnsi="Times New Roman"/>
          <w:b/>
          <w:bCs/>
          <w:color w:val="auto"/>
          <w:szCs w:val="21"/>
          <w:highlight w:val="none"/>
        </w:rPr>
      </w:pPr>
      <w:r>
        <w:rPr>
          <w:rFonts w:ascii="Times New Roman" w:hAnsi="Times New Roman"/>
          <w:b/>
          <w:bCs/>
          <w:color w:val="auto"/>
          <w:szCs w:val="21"/>
          <w:highlight w:val="none"/>
        </w:rPr>
        <w:t>备注：</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ind w:left="2" w:leftChars="1" w:firstLine="420" w:firstLineChars="200"/>
        <w:rPr>
          <w:rFonts w:ascii="Times New Roman" w:hAnsi="Times New Roman"/>
          <w:color w:val="auto"/>
          <w:highlight w:val="none"/>
        </w:rPr>
      </w:pPr>
      <w:r>
        <w:rPr>
          <w:rFonts w:ascii="Times New Roman" w:hAnsi="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C52FB"/>
    <w:multiLevelType w:val="singleLevel"/>
    <w:tmpl w:val="38AC52F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303D36EB"/>
    <w:rsid w:val="00042BAB"/>
    <w:rsid w:val="000505EF"/>
    <w:rsid w:val="000A4ECE"/>
    <w:rsid w:val="000D1B1B"/>
    <w:rsid w:val="0011008A"/>
    <w:rsid w:val="001457CD"/>
    <w:rsid w:val="00162138"/>
    <w:rsid w:val="002143AB"/>
    <w:rsid w:val="00247DA6"/>
    <w:rsid w:val="002A3A0B"/>
    <w:rsid w:val="00383ADA"/>
    <w:rsid w:val="003F3B89"/>
    <w:rsid w:val="00442085"/>
    <w:rsid w:val="004A44FA"/>
    <w:rsid w:val="004D4C44"/>
    <w:rsid w:val="004E0A3C"/>
    <w:rsid w:val="0055105E"/>
    <w:rsid w:val="00650E81"/>
    <w:rsid w:val="00656969"/>
    <w:rsid w:val="006E7B3E"/>
    <w:rsid w:val="007212D9"/>
    <w:rsid w:val="007F2ECD"/>
    <w:rsid w:val="00834893"/>
    <w:rsid w:val="009E0EB3"/>
    <w:rsid w:val="00A25223"/>
    <w:rsid w:val="00A86051"/>
    <w:rsid w:val="00A909D4"/>
    <w:rsid w:val="00AA1A78"/>
    <w:rsid w:val="00AD7936"/>
    <w:rsid w:val="00B60AAB"/>
    <w:rsid w:val="00B634E3"/>
    <w:rsid w:val="00BE73BA"/>
    <w:rsid w:val="00D52929"/>
    <w:rsid w:val="00D92DE1"/>
    <w:rsid w:val="00D94615"/>
    <w:rsid w:val="00DB2CC9"/>
    <w:rsid w:val="00DC0C25"/>
    <w:rsid w:val="00DC43C2"/>
    <w:rsid w:val="00DD2131"/>
    <w:rsid w:val="00E95365"/>
    <w:rsid w:val="00EB3A14"/>
    <w:rsid w:val="00FA2A30"/>
    <w:rsid w:val="00FD5477"/>
    <w:rsid w:val="03F30F1C"/>
    <w:rsid w:val="04B76326"/>
    <w:rsid w:val="06E30772"/>
    <w:rsid w:val="0AF452D8"/>
    <w:rsid w:val="0B513B77"/>
    <w:rsid w:val="0D5D1F8C"/>
    <w:rsid w:val="10813D77"/>
    <w:rsid w:val="133D141C"/>
    <w:rsid w:val="197D1B6C"/>
    <w:rsid w:val="19863A4C"/>
    <w:rsid w:val="198E1938"/>
    <w:rsid w:val="1D24052A"/>
    <w:rsid w:val="1E673C7B"/>
    <w:rsid w:val="22E52653"/>
    <w:rsid w:val="23A64D80"/>
    <w:rsid w:val="2764365D"/>
    <w:rsid w:val="28DE1ED5"/>
    <w:rsid w:val="2CD87235"/>
    <w:rsid w:val="2EA51AF0"/>
    <w:rsid w:val="303D36EB"/>
    <w:rsid w:val="33A77DDD"/>
    <w:rsid w:val="350E5638"/>
    <w:rsid w:val="35D00DF7"/>
    <w:rsid w:val="3A856654"/>
    <w:rsid w:val="467F5918"/>
    <w:rsid w:val="4F1624B9"/>
    <w:rsid w:val="50295F8F"/>
    <w:rsid w:val="51C64FC3"/>
    <w:rsid w:val="531C38C0"/>
    <w:rsid w:val="5794341D"/>
    <w:rsid w:val="6C51446C"/>
    <w:rsid w:val="727968C0"/>
    <w:rsid w:val="74040752"/>
    <w:rsid w:val="74F04F77"/>
    <w:rsid w:val="781A7988"/>
    <w:rsid w:val="78C24B52"/>
    <w:rsid w:val="7A39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8">
    <w:name w:val="annotation reference"/>
    <w:basedOn w:val="7"/>
    <w:semiHidden/>
    <w:unhideWhenUsed/>
    <w:qFormat/>
    <w:uiPriority w:val="0"/>
    <w:rPr>
      <w:sz w:val="21"/>
      <w:szCs w:val="21"/>
    </w:rPr>
  </w:style>
  <w:style w:type="paragraph" w:customStyle="1" w:styleId="9">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10">
    <w:name w:val="页眉 字符"/>
    <w:basedOn w:val="7"/>
    <w:link w:val="4"/>
    <w:autoRedefine/>
    <w:qFormat/>
    <w:uiPriority w:val="0"/>
    <w:rPr>
      <w:rFonts w:ascii="Calibri" w:hAnsi="Calibri" w:eastAsia="宋体" w:cs="Times New Roman"/>
      <w:kern w:val="2"/>
      <w:sz w:val="18"/>
      <w:szCs w:val="18"/>
    </w:rPr>
  </w:style>
  <w:style w:type="character" w:customStyle="1" w:styleId="11">
    <w:name w:val="页脚 字符"/>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6901</Words>
  <Characters>7976</Characters>
  <Lines>74</Lines>
  <Paragraphs>20</Paragraphs>
  <TotalTime>28</TotalTime>
  <ScaleCrop>false</ScaleCrop>
  <LinksUpToDate>false</LinksUpToDate>
  <CharactersWithSpaces>8034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2023-09-04T01:25:00Z</dcterms:created>
  <dc:creator>WPS_1635491849</dc:creator>
  <cp:lastModifiedBy>WPS_1635491849</cp:lastModifiedBy>
  <cp:lastPrinted>2024-05-15T05:58:00Z</cp:lastPrinted>
  <dcterms:modified xsi:type="dcterms:W3CDTF">2024-07-10T02:12:09Z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AD0646385C564EF799265F5449D9AB83_13</vt:lpwstr>
  </property>
</Properties>
</file>