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color w:val="auto"/>
          <w:sz w:val="28"/>
          <w:highlight w:val="none"/>
        </w:rPr>
      </w:pPr>
      <w:r>
        <w:rPr>
          <w:rFonts w:hint="eastAsia" w:eastAsia="黑体"/>
          <w:b/>
          <w:color w:val="auto"/>
          <w:sz w:val="28"/>
          <w:highlight w:val="none"/>
        </w:rPr>
        <w:t>测控技术与仪器专业指导性培养计划</w:t>
      </w:r>
    </w:p>
    <w:p>
      <w:pPr>
        <w:adjustRightInd w:val="0"/>
        <w:snapToGrid w:val="0"/>
        <w:spacing w:line="360" w:lineRule="auto"/>
        <w:jc w:val="center"/>
        <w:outlineLvl w:val="0"/>
        <w:rPr>
          <w:rFonts w:eastAsia="黑体"/>
          <w:b/>
          <w:bCs/>
          <w:color w:val="auto"/>
          <w:szCs w:val="21"/>
          <w:highlight w:val="none"/>
        </w:rPr>
      </w:pPr>
      <w:r>
        <w:rPr>
          <w:rFonts w:hint="eastAsia" w:eastAsia="黑体"/>
          <w:b/>
          <w:bCs/>
          <w:color w:val="auto"/>
          <w:szCs w:val="21"/>
          <w:highlight w:val="none"/>
        </w:rPr>
        <w:t>（</w:t>
      </w:r>
      <w:r>
        <w:rPr>
          <w:rFonts w:eastAsia="黑体"/>
          <w:b/>
          <w:bCs/>
          <w:color w:val="auto"/>
          <w:szCs w:val="21"/>
          <w:highlight w:val="none"/>
        </w:rPr>
        <w:t>20</w:t>
      </w:r>
      <w:r>
        <w:rPr>
          <w:rFonts w:hint="eastAsia" w:eastAsia="黑体"/>
          <w:b/>
          <w:bCs/>
          <w:color w:val="auto"/>
          <w:szCs w:val="21"/>
          <w:highlight w:val="none"/>
        </w:rPr>
        <w:t>2</w:t>
      </w:r>
      <w:r>
        <w:rPr>
          <w:rFonts w:eastAsia="黑体"/>
          <w:b/>
          <w:bCs/>
          <w:color w:val="auto"/>
          <w:szCs w:val="21"/>
          <w:highlight w:val="none"/>
        </w:rPr>
        <w:t>3</w:t>
      </w:r>
      <w:r>
        <w:rPr>
          <w:rFonts w:hint="eastAsia" w:eastAsia="黑体"/>
          <w:b/>
          <w:bCs/>
          <w:color w:val="auto"/>
          <w:szCs w:val="21"/>
          <w:highlight w:val="none"/>
        </w:rPr>
        <w:t>级）</w:t>
      </w:r>
    </w:p>
    <w:p>
      <w:pPr>
        <w:adjustRightInd w:val="0"/>
        <w:snapToGrid w:val="0"/>
        <w:spacing w:line="360" w:lineRule="auto"/>
        <w:outlineLvl w:val="0"/>
        <w:rPr>
          <w:rFonts w:eastAsia="黑体"/>
          <w:b/>
          <w:bCs/>
          <w:color w:val="auto"/>
          <w:szCs w:val="21"/>
          <w:highlight w:val="none"/>
        </w:rPr>
      </w:pPr>
      <w:r>
        <w:rPr>
          <w:rFonts w:eastAsia="黑体"/>
          <w:b/>
          <w:bCs/>
          <w:color w:val="auto"/>
          <w:szCs w:val="21"/>
          <w:highlight w:val="none"/>
        </w:rPr>
        <w:t>专业代码： 080301</w:t>
      </w:r>
    </w:p>
    <w:p>
      <w:pPr>
        <w:adjustRightInd w:val="0"/>
        <w:snapToGrid w:val="0"/>
        <w:spacing w:line="360" w:lineRule="auto"/>
        <w:jc w:val="left"/>
        <w:outlineLvl w:val="0"/>
        <w:rPr>
          <w:rFonts w:ascii="黑体" w:eastAsia="黑体"/>
          <w:b/>
          <w:bCs/>
          <w:color w:val="auto"/>
          <w:szCs w:val="21"/>
          <w:highlight w:val="none"/>
        </w:rPr>
      </w:pPr>
      <w:r>
        <w:rPr>
          <w:rFonts w:eastAsia="黑体"/>
          <w:b/>
          <w:bCs/>
          <w:color w:val="auto"/>
          <w:szCs w:val="21"/>
          <w:highlight w:val="none"/>
        </w:rPr>
        <w:t>执笔：秦琴               审核：孙自强  汪志锋</w:t>
      </w:r>
      <w:r>
        <w:rPr>
          <w:rFonts w:hint="eastAsia" w:ascii="黑体" w:eastAsia="黑体"/>
          <w:b/>
          <w:bCs/>
          <w:color w:val="auto"/>
          <w:szCs w:val="21"/>
          <w:highlight w:val="none"/>
        </w:rPr>
        <w:t xml:space="preserve"> </w:t>
      </w:r>
    </w:p>
    <w:p>
      <w:pPr>
        <w:adjustRightInd w:val="0"/>
        <w:snapToGrid w:val="0"/>
        <w:spacing w:line="360" w:lineRule="auto"/>
        <w:rPr>
          <w:rFonts w:ascii="黑体" w:eastAsia="黑体"/>
          <w:b/>
          <w:color w:val="auto"/>
          <w:highlight w:val="none"/>
        </w:rPr>
      </w:pP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 xml:space="preserve">一，培养目标 </w:t>
      </w:r>
    </w:p>
    <w:p>
      <w:pPr>
        <w:tabs>
          <w:tab w:val="left" w:pos="4834"/>
        </w:tabs>
        <w:adjustRightInd w:val="0"/>
        <w:snapToGrid w:val="0"/>
        <w:spacing w:line="360" w:lineRule="auto"/>
        <w:ind w:firstLine="210" w:firstLineChars="100"/>
        <w:rPr>
          <w:color w:val="auto"/>
          <w:szCs w:val="21"/>
          <w:highlight w:val="none"/>
        </w:rPr>
      </w:pPr>
      <w:r>
        <w:rPr>
          <w:rFonts w:hint="eastAsia"/>
          <w:color w:val="auto"/>
          <w:szCs w:val="21"/>
          <w:highlight w:val="none"/>
        </w:rPr>
        <w:t>1．培养总目标</w:t>
      </w:r>
    </w:p>
    <w:p>
      <w:pPr>
        <w:tabs>
          <w:tab w:val="left" w:pos="4834"/>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本专业适应国家经济与科技发展需求，培养基础理论扎实、专业知识面广、实践能力强、具有现代科学创新精神和国际视野，能够在智能制造相关工业领域从事现代仪器与检测设备的研究、开发、工程设计、技术管理与服务等工作，德、智、体、美、劳全面发展的高级应用型工程技术人才。</w:t>
      </w:r>
    </w:p>
    <w:p>
      <w:pPr>
        <w:tabs>
          <w:tab w:val="left" w:pos="4834"/>
        </w:tabs>
        <w:adjustRightInd w:val="0"/>
        <w:snapToGrid w:val="0"/>
        <w:spacing w:line="360" w:lineRule="auto"/>
        <w:ind w:firstLine="105" w:firstLineChars="50"/>
        <w:rPr>
          <w:color w:val="auto"/>
          <w:szCs w:val="21"/>
          <w:highlight w:val="none"/>
        </w:rPr>
      </w:pPr>
      <w:r>
        <w:rPr>
          <w:rFonts w:hint="eastAsia"/>
          <w:color w:val="auto"/>
          <w:szCs w:val="21"/>
          <w:highlight w:val="none"/>
        </w:rPr>
        <w:t xml:space="preserve"> 2．价值引领目标</w:t>
      </w:r>
    </w:p>
    <w:p>
      <w:pPr>
        <w:pStyle w:val="5"/>
        <w:tabs>
          <w:tab w:val="left" w:pos="4834"/>
        </w:tabs>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rPr>
        <w:t>以培养适应社会发展的应用型工程技术人才为目标，以工匠精神为价值取向，以校企合作、课程教学为载体，培养学生严谨细致、专注负责、精益求精的职业精神，提升学生的自主学习能力、团队合作能力、创新能力和社会适应能力。</w:t>
      </w:r>
    </w:p>
    <w:p>
      <w:pPr>
        <w:tabs>
          <w:tab w:val="left" w:pos="4834"/>
        </w:tabs>
        <w:adjustRightInd w:val="0"/>
        <w:snapToGrid w:val="0"/>
        <w:spacing w:line="360" w:lineRule="auto"/>
        <w:ind w:firstLine="210" w:firstLineChars="100"/>
        <w:rPr>
          <w:rFonts w:ascii="宋体" w:hAnsi="宋体"/>
          <w:color w:val="auto"/>
          <w:szCs w:val="21"/>
          <w:highlight w:val="none"/>
        </w:rPr>
      </w:pPr>
      <w:r>
        <w:rPr>
          <w:color w:val="auto"/>
          <w:szCs w:val="21"/>
          <w:highlight w:val="none"/>
        </w:rPr>
        <w:t>3</w:t>
      </w:r>
      <w:r>
        <w:rPr>
          <w:rFonts w:hint="eastAsia" w:ascii="宋体" w:hAnsi="宋体"/>
          <w:color w:val="auto"/>
          <w:szCs w:val="21"/>
          <w:highlight w:val="none"/>
        </w:rPr>
        <w:t>. 学生毕业五年后须达到的目标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掌握扎实的工程基础和测控专业知识，能够综合应用测控专业知识和现代工具从事复杂测控相关产品的设计、开发和生产和调试，并同时考虑社会、环境因素及相关政策法规；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2）具有与行业内外有效沟通、组织管理、团结写作和决策能力；</w:t>
      </w:r>
    </w:p>
    <w:p>
      <w:pPr>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）具有社会责任感，坚守职业道德规范、工程伦理和行业行为规范；</w:t>
      </w:r>
    </w:p>
    <w:p>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）掌握行业现状和发展趋势，具有创新意识、自主学习和终身学习的能力。</w:t>
      </w: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二，毕业要求</w:t>
      </w:r>
    </w:p>
    <w:p>
      <w:pPr>
        <w:snapToGrid w:val="0"/>
        <w:spacing w:line="360" w:lineRule="auto"/>
        <w:rPr>
          <w:color w:val="auto"/>
          <w:szCs w:val="21"/>
          <w:highlight w:val="none"/>
        </w:rPr>
      </w:pPr>
      <w:r>
        <w:rPr>
          <w:b/>
          <w:color w:val="auto"/>
          <w:szCs w:val="21"/>
          <w:highlight w:val="none"/>
        </w:rPr>
        <w:t>1.工程知识。</w:t>
      </w:r>
      <w:r>
        <w:rPr>
          <w:color w:val="auto"/>
          <w:szCs w:val="21"/>
          <w:highlight w:val="none"/>
        </w:rPr>
        <w:t>具有从事测控工程领域所需的数学、自然科学、工程基础和专业知识，并能够综合应用这些知识解决测控及相关工程领域的工程问题；</w:t>
      </w:r>
    </w:p>
    <w:p>
      <w:pPr>
        <w:snapToGrid w:val="0"/>
        <w:spacing w:line="360" w:lineRule="auto"/>
        <w:ind w:firstLine="420" w:firstLineChars="200"/>
        <w:rPr>
          <w:color w:val="auto"/>
          <w:szCs w:val="21"/>
          <w:highlight w:val="none"/>
        </w:rPr>
      </w:pPr>
      <w:r>
        <w:rPr>
          <w:color w:val="auto"/>
          <w:szCs w:val="21"/>
          <w:highlight w:val="none"/>
        </w:rPr>
        <w:t>指标点1-1：掌握数学和自然科学知识，领会重要数学、物理思想方法，能够将数学、自然科学和工程科学的语言综合运用于测控及仪器领域工程问题的恰当表述中。</w:t>
      </w:r>
    </w:p>
    <w:p>
      <w:pPr>
        <w:snapToGrid w:val="0"/>
        <w:spacing w:line="360" w:lineRule="auto"/>
        <w:ind w:firstLine="420" w:firstLineChars="200"/>
        <w:rPr>
          <w:color w:val="auto"/>
          <w:szCs w:val="21"/>
          <w:highlight w:val="none"/>
        </w:rPr>
      </w:pPr>
      <w:r>
        <w:rPr>
          <w:color w:val="auto"/>
          <w:szCs w:val="21"/>
          <w:highlight w:val="none"/>
        </w:rPr>
        <w:t>指标点1</w:t>
      </w:r>
      <w:r>
        <w:rPr>
          <w:rFonts w:hint="eastAsia"/>
          <w:color w:val="auto"/>
          <w:szCs w:val="21"/>
          <w:highlight w:val="none"/>
        </w:rPr>
        <w:t>-</w:t>
      </w:r>
      <w:r>
        <w:rPr>
          <w:color w:val="auto"/>
          <w:szCs w:val="21"/>
          <w:highlight w:val="none"/>
        </w:rPr>
        <w:t>2：能够针对测控及相关工程领域的工程问题，建立数学与物理模型并求解。</w:t>
      </w:r>
    </w:p>
    <w:p>
      <w:pPr>
        <w:snapToGrid w:val="0"/>
        <w:spacing w:line="360" w:lineRule="auto"/>
        <w:ind w:firstLine="420" w:firstLineChars="200"/>
        <w:rPr>
          <w:color w:val="auto"/>
          <w:szCs w:val="21"/>
          <w:highlight w:val="none"/>
        </w:rPr>
      </w:pPr>
      <w:r>
        <w:rPr>
          <w:color w:val="auto"/>
          <w:szCs w:val="21"/>
          <w:highlight w:val="none"/>
        </w:rPr>
        <w:t>指标点1</w:t>
      </w:r>
      <w:r>
        <w:rPr>
          <w:rFonts w:hint="eastAsia"/>
          <w:color w:val="auto"/>
          <w:szCs w:val="21"/>
          <w:highlight w:val="none"/>
        </w:rPr>
        <w:t>-</w:t>
      </w:r>
      <w:r>
        <w:rPr>
          <w:color w:val="auto"/>
          <w:szCs w:val="21"/>
          <w:highlight w:val="none"/>
        </w:rPr>
        <w:t>3：掌握测控及相关工程领域的专业基础知识，能够针对相关工程领域的工程问题进行分析与设计。</w:t>
      </w:r>
    </w:p>
    <w:p>
      <w:pPr>
        <w:snapToGrid w:val="0"/>
        <w:spacing w:line="360" w:lineRule="auto"/>
        <w:ind w:firstLine="420" w:firstLineChars="200"/>
        <w:rPr>
          <w:color w:val="auto"/>
          <w:szCs w:val="21"/>
          <w:highlight w:val="none"/>
        </w:rPr>
      </w:pPr>
      <w:r>
        <w:rPr>
          <w:color w:val="auto"/>
          <w:szCs w:val="21"/>
          <w:highlight w:val="none"/>
        </w:rPr>
        <w:t>指标点1</w:t>
      </w:r>
      <w:r>
        <w:rPr>
          <w:rFonts w:hint="eastAsia"/>
          <w:color w:val="auto"/>
          <w:szCs w:val="21"/>
          <w:highlight w:val="none"/>
        </w:rPr>
        <w:t>-</w:t>
      </w:r>
      <w:r>
        <w:rPr>
          <w:color w:val="auto"/>
          <w:szCs w:val="21"/>
          <w:highlight w:val="none"/>
        </w:rPr>
        <w:t>4：掌握测控及相关工程领域专业知识，并能够综合应用相关知识解决测控及相关领域的工程问题。</w:t>
      </w:r>
    </w:p>
    <w:p>
      <w:pPr>
        <w:snapToGrid w:val="0"/>
        <w:spacing w:line="360" w:lineRule="auto"/>
        <w:rPr>
          <w:color w:val="auto"/>
          <w:szCs w:val="21"/>
          <w:highlight w:val="none"/>
        </w:rPr>
      </w:pPr>
      <w:r>
        <w:rPr>
          <w:b/>
          <w:color w:val="auto"/>
          <w:szCs w:val="21"/>
          <w:highlight w:val="none"/>
        </w:rPr>
        <w:t>2.问题分析能力。</w:t>
      </w:r>
      <w:r>
        <w:rPr>
          <w:color w:val="auto"/>
          <w:szCs w:val="21"/>
          <w:highlight w:val="none"/>
        </w:rPr>
        <w:t>能够应用测控工程领域相关的数学、自然科学和工程科学的基本知识，并通过文献及调研，对测控及相关工程领域的工程问题进行建模与分析，并能够获得有效结论；</w:t>
      </w:r>
    </w:p>
    <w:p>
      <w:pPr>
        <w:snapToGrid w:val="0"/>
        <w:spacing w:line="360" w:lineRule="auto"/>
        <w:ind w:firstLine="420" w:firstLineChars="200"/>
        <w:rPr>
          <w:color w:val="auto"/>
          <w:szCs w:val="21"/>
          <w:highlight w:val="none"/>
        </w:rPr>
      </w:pPr>
      <w:r>
        <w:rPr>
          <w:color w:val="auto"/>
          <w:szCs w:val="21"/>
          <w:highlight w:val="none"/>
        </w:rPr>
        <w:t>指标点2</w:t>
      </w:r>
      <w:r>
        <w:rPr>
          <w:rFonts w:hint="eastAsia"/>
          <w:color w:val="auto"/>
          <w:szCs w:val="21"/>
          <w:highlight w:val="none"/>
        </w:rPr>
        <w:t>-</w:t>
      </w:r>
      <w:r>
        <w:rPr>
          <w:color w:val="auto"/>
          <w:szCs w:val="21"/>
          <w:highlight w:val="none"/>
        </w:rPr>
        <w:t>1：能够应用测控工程相关的数学、自然科学和工程科学的基本知识，识别和判断工程问题的关键环节。</w:t>
      </w:r>
    </w:p>
    <w:p>
      <w:pPr>
        <w:snapToGrid w:val="0"/>
        <w:spacing w:line="360" w:lineRule="auto"/>
        <w:ind w:firstLine="420" w:firstLineChars="200"/>
        <w:rPr>
          <w:color w:val="auto"/>
          <w:szCs w:val="21"/>
          <w:highlight w:val="none"/>
        </w:rPr>
      </w:pPr>
      <w:r>
        <w:rPr>
          <w:color w:val="auto"/>
          <w:szCs w:val="21"/>
          <w:highlight w:val="none"/>
        </w:rPr>
        <w:t>指标点2</w:t>
      </w:r>
      <w:r>
        <w:rPr>
          <w:rFonts w:hint="eastAsia"/>
          <w:color w:val="auto"/>
          <w:szCs w:val="21"/>
          <w:highlight w:val="none"/>
        </w:rPr>
        <w:t>-</w:t>
      </w:r>
      <w:r>
        <w:rPr>
          <w:color w:val="auto"/>
          <w:szCs w:val="21"/>
          <w:highlight w:val="none"/>
        </w:rPr>
        <w:t>2：能够应用专业基础知识，正确表述工程问题，并分析对象特性。</w:t>
      </w:r>
    </w:p>
    <w:p>
      <w:pPr>
        <w:snapToGrid w:val="0"/>
        <w:spacing w:line="360" w:lineRule="auto"/>
        <w:ind w:firstLine="420" w:firstLineChars="200"/>
        <w:rPr>
          <w:color w:val="auto"/>
          <w:szCs w:val="21"/>
          <w:highlight w:val="none"/>
        </w:rPr>
      </w:pPr>
      <w:r>
        <w:rPr>
          <w:color w:val="auto"/>
          <w:szCs w:val="21"/>
          <w:highlight w:val="none"/>
        </w:rPr>
        <w:t>指标点2</w:t>
      </w:r>
      <w:r>
        <w:rPr>
          <w:rFonts w:hint="eastAsia"/>
          <w:color w:val="auto"/>
          <w:szCs w:val="21"/>
          <w:highlight w:val="none"/>
        </w:rPr>
        <w:t>-</w:t>
      </w:r>
      <w:r>
        <w:rPr>
          <w:color w:val="auto"/>
          <w:szCs w:val="21"/>
          <w:highlight w:val="none"/>
        </w:rPr>
        <w:t>3：能够综合运用专业知识，借助文献研究，分析工程问题的影响因素，寻求解决问题的多种途径，并获得有效结论。</w:t>
      </w:r>
    </w:p>
    <w:p>
      <w:pPr>
        <w:snapToGrid w:val="0"/>
        <w:spacing w:line="360" w:lineRule="auto"/>
        <w:rPr>
          <w:color w:val="auto"/>
          <w:szCs w:val="21"/>
          <w:highlight w:val="none"/>
        </w:rPr>
      </w:pPr>
      <w:r>
        <w:rPr>
          <w:b/>
          <w:color w:val="auto"/>
          <w:szCs w:val="21"/>
          <w:highlight w:val="none"/>
        </w:rPr>
        <w:t>3.设计/开发解决方案能力。</w:t>
      </w:r>
      <w:r>
        <w:rPr>
          <w:color w:val="auto"/>
          <w:szCs w:val="21"/>
          <w:highlight w:val="none"/>
        </w:rPr>
        <w:t>能够应用测控工程领域相关的基本原理和技术手段，设计测控及相关工程问题的解决方案，并能够在设计环节中体现创新意识，同时考虑社会、健康、安全、法律、文化以及环境等因素；</w:t>
      </w:r>
    </w:p>
    <w:p>
      <w:pPr>
        <w:snapToGrid w:val="0"/>
        <w:spacing w:line="360" w:lineRule="auto"/>
        <w:ind w:firstLine="420" w:firstLineChars="200"/>
        <w:rPr>
          <w:color w:val="auto"/>
          <w:szCs w:val="21"/>
          <w:highlight w:val="none"/>
        </w:rPr>
      </w:pPr>
      <w:r>
        <w:rPr>
          <w:color w:val="auto"/>
          <w:szCs w:val="21"/>
          <w:highlight w:val="none"/>
        </w:rPr>
        <w:t>指标点3</w:t>
      </w:r>
      <w:r>
        <w:rPr>
          <w:rFonts w:hint="eastAsia"/>
          <w:color w:val="auto"/>
          <w:szCs w:val="21"/>
          <w:highlight w:val="none"/>
        </w:rPr>
        <w:t>-</w:t>
      </w:r>
      <w:r>
        <w:rPr>
          <w:color w:val="auto"/>
          <w:szCs w:val="21"/>
          <w:highlight w:val="none"/>
        </w:rPr>
        <w:t>1：能够运用相关专业知识，设计和开发简单工程问题的解决方案，了解影响设计目标和技术方案的各种因素。</w:t>
      </w:r>
    </w:p>
    <w:p>
      <w:pPr>
        <w:snapToGrid w:val="0"/>
        <w:spacing w:line="360" w:lineRule="auto"/>
        <w:ind w:firstLine="420" w:firstLineChars="200"/>
        <w:rPr>
          <w:color w:val="auto"/>
          <w:szCs w:val="21"/>
          <w:highlight w:val="none"/>
        </w:rPr>
      </w:pPr>
      <w:r>
        <w:rPr>
          <w:color w:val="auto"/>
          <w:szCs w:val="21"/>
          <w:highlight w:val="none"/>
        </w:rPr>
        <w:t>指标点3</w:t>
      </w:r>
      <w:r>
        <w:rPr>
          <w:rFonts w:hint="eastAsia"/>
          <w:color w:val="auto"/>
          <w:szCs w:val="21"/>
          <w:highlight w:val="none"/>
        </w:rPr>
        <w:t>-2</w:t>
      </w:r>
      <w:r>
        <w:rPr>
          <w:color w:val="auto"/>
          <w:szCs w:val="21"/>
          <w:highlight w:val="none"/>
        </w:rPr>
        <w:t>：掌握测控工程设计和产品开发全周期、全流程的基本设计（开发）方法和技术，并应用于设计复杂工程问题的解决方案，体现创新意识。</w:t>
      </w:r>
    </w:p>
    <w:p>
      <w:pPr>
        <w:snapToGrid w:val="0"/>
        <w:spacing w:line="360" w:lineRule="auto"/>
        <w:ind w:firstLine="420" w:firstLineChars="200"/>
        <w:rPr>
          <w:color w:val="auto"/>
          <w:szCs w:val="21"/>
          <w:highlight w:val="none"/>
        </w:rPr>
      </w:pPr>
      <w:r>
        <w:rPr>
          <w:color w:val="auto"/>
          <w:szCs w:val="21"/>
          <w:highlight w:val="none"/>
        </w:rPr>
        <w:t>指标点3</w:t>
      </w:r>
      <w:r>
        <w:rPr>
          <w:rFonts w:hint="eastAsia"/>
          <w:color w:val="auto"/>
          <w:szCs w:val="21"/>
          <w:highlight w:val="none"/>
        </w:rPr>
        <w:t>-</w:t>
      </w:r>
      <w:r>
        <w:rPr>
          <w:color w:val="auto"/>
          <w:szCs w:val="21"/>
          <w:highlight w:val="none"/>
        </w:rPr>
        <w:t>3：能够在设计环节考虑社会、健康、安全、法律、文化以及环境等因素，并评价解决方案的可行性。</w:t>
      </w:r>
    </w:p>
    <w:p>
      <w:pPr>
        <w:snapToGrid w:val="0"/>
        <w:spacing w:line="360" w:lineRule="auto"/>
        <w:rPr>
          <w:color w:val="auto"/>
          <w:szCs w:val="21"/>
          <w:highlight w:val="none"/>
        </w:rPr>
      </w:pPr>
      <w:r>
        <w:rPr>
          <w:b/>
          <w:color w:val="auto"/>
          <w:szCs w:val="21"/>
          <w:highlight w:val="none"/>
        </w:rPr>
        <w:t>4.科学研究能力。</w:t>
      </w:r>
      <w:r>
        <w:rPr>
          <w:color w:val="auto"/>
          <w:szCs w:val="21"/>
          <w:highlight w:val="none"/>
        </w:rPr>
        <w:t>能够基于科学原理和方法，进行建模、仿真、优化和综合，研究测控及相关工程领域的复杂工程问题；</w:t>
      </w:r>
    </w:p>
    <w:p>
      <w:pPr>
        <w:snapToGrid w:val="0"/>
        <w:spacing w:line="360" w:lineRule="auto"/>
        <w:ind w:firstLine="420" w:firstLineChars="200"/>
        <w:rPr>
          <w:color w:val="auto"/>
          <w:szCs w:val="21"/>
          <w:highlight w:val="none"/>
        </w:rPr>
      </w:pPr>
      <w:r>
        <w:rPr>
          <w:color w:val="auto"/>
          <w:szCs w:val="21"/>
          <w:highlight w:val="none"/>
        </w:rPr>
        <w:t>指标点4</w:t>
      </w:r>
      <w:r>
        <w:rPr>
          <w:rFonts w:hint="eastAsia"/>
          <w:color w:val="auto"/>
          <w:szCs w:val="21"/>
          <w:highlight w:val="none"/>
        </w:rPr>
        <w:t>-</w:t>
      </w:r>
      <w:r>
        <w:rPr>
          <w:color w:val="auto"/>
          <w:szCs w:val="21"/>
          <w:highlight w:val="none"/>
        </w:rPr>
        <w:t>1：能够基于科学原理，通过调研和理论分析等手段，针对测控及相关工程领域复杂工程问题，确定合理的目标与可行的解决方案。</w:t>
      </w:r>
    </w:p>
    <w:p>
      <w:pPr>
        <w:snapToGrid w:val="0"/>
        <w:spacing w:line="360" w:lineRule="auto"/>
        <w:ind w:firstLine="420" w:firstLineChars="200"/>
        <w:rPr>
          <w:color w:val="auto"/>
          <w:szCs w:val="21"/>
          <w:highlight w:val="none"/>
        </w:rPr>
      </w:pPr>
      <w:r>
        <w:rPr>
          <w:color w:val="auto"/>
          <w:szCs w:val="21"/>
          <w:highlight w:val="none"/>
        </w:rPr>
        <w:t>指标点4</w:t>
      </w:r>
      <w:r>
        <w:rPr>
          <w:rFonts w:hint="eastAsia"/>
          <w:color w:val="auto"/>
          <w:szCs w:val="21"/>
          <w:highlight w:val="none"/>
        </w:rPr>
        <w:t>-</w:t>
      </w:r>
      <w:r>
        <w:rPr>
          <w:color w:val="auto"/>
          <w:szCs w:val="21"/>
          <w:highlight w:val="none"/>
        </w:rPr>
        <w:t>2：能够基于专业理论和对象特征，选择研究路线、设计仿真或实验方案，并构建实验系统，确定需要的材料、器件。</w:t>
      </w:r>
    </w:p>
    <w:p>
      <w:pPr>
        <w:snapToGrid w:val="0"/>
        <w:spacing w:line="360" w:lineRule="auto"/>
        <w:ind w:firstLine="420" w:firstLineChars="200"/>
        <w:rPr>
          <w:color w:val="auto"/>
          <w:szCs w:val="21"/>
          <w:highlight w:val="none"/>
        </w:rPr>
      </w:pPr>
      <w:r>
        <w:rPr>
          <w:color w:val="auto"/>
          <w:szCs w:val="21"/>
          <w:highlight w:val="none"/>
        </w:rPr>
        <w:t>指标点4</w:t>
      </w:r>
      <w:r>
        <w:rPr>
          <w:rFonts w:hint="eastAsia"/>
          <w:color w:val="auto"/>
          <w:szCs w:val="21"/>
          <w:highlight w:val="none"/>
        </w:rPr>
        <w:t>-</w:t>
      </w:r>
      <w:r>
        <w:rPr>
          <w:color w:val="auto"/>
          <w:szCs w:val="21"/>
          <w:highlight w:val="none"/>
        </w:rPr>
        <w:t>3：能够进行仿真或实验研究，采集、处理实验数据，对实验结果进行分析、解释和处理，并通过信息综合获得合理有效的结论。</w:t>
      </w:r>
    </w:p>
    <w:p>
      <w:pPr>
        <w:snapToGrid w:val="0"/>
        <w:spacing w:line="360" w:lineRule="auto"/>
        <w:rPr>
          <w:color w:val="auto"/>
          <w:szCs w:val="21"/>
          <w:highlight w:val="none"/>
        </w:rPr>
      </w:pPr>
      <w:r>
        <w:rPr>
          <w:b/>
          <w:color w:val="auto"/>
          <w:szCs w:val="21"/>
          <w:highlight w:val="none"/>
        </w:rPr>
        <w:t>5.使用现代工具的能力。</w:t>
      </w:r>
      <w:r>
        <w:rPr>
          <w:color w:val="auto"/>
          <w:szCs w:val="21"/>
          <w:highlight w:val="none"/>
        </w:rPr>
        <w:t>能够针对测控及相关工程领域的复杂工程问题，开发、选择与使用恰当的技术、资源、现代工程工具和信息技术工具，包括对测控及相关工程领域复杂工程问题的预测、 模拟和测试，并能够理解其局限性；</w:t>
      </w:r>
    </w:p>
    <w:p>
      <w:pPr>
        <w:snapToGrid w:val="0"/>
        <w:spacing w:line="360" w:lineRule="auto"/>
        <w:ind w:firstLine="420" w:firstLineChars="200"/>
        <w:rPr>
          <w:color w:val="auto"/>
          <w:szCs w:val="21"/>
          <w:highlight w:val="none"/>
        </w:rPr>
      </w:pPr>
      <w:r>
        <w:rPr>
          <w:color w:val="auto"/>
          <w:szCs w:val="21"/>
          <w:highlight w:val="none"/>
        </w:rPr>
        <w:t>指标点5</w:t>
      </w:r>
      <w:r>
        <w:rPr>
          <w:rFonts w:hint="eastAsia"/>
          <w:color w:val="auto"/>
          <w:szCs w:val="21"/>
          <w:highlight w:val="none"/>
        </w:rPr>
        <w:t>-</w:t>
      </w:r>
      <w:r>
        <w:rPr>
          <w:color w:val="auto"/>
          <w:szCs w:val="21"/>
          <w:highlight w:val="none"/>
        </w:rPr>
        <w:t>1：能够通过网络等信息技术工具和途径查询、检索测控专业文献及资料。</w:t>
      </w:r>
    </w:p>
    <w:p>
      <w:pPr>
        <w:snapToGrid w:val="0"/>
        <w:spacing w:line="360" w:lineRule="auto"/>
        <w:ind w:firstLine="420" w:firstLineChars="200"/>
        <w:rPr>
          <w:color w:val="auto"/>
          <w:szCs w:val="21"/>
          <w:highlight w:val="none"/>
        </w:rPr>
      </w:pPr>
      <w:r>
        <w:rPr>
          <w:color w:val="auto"/>
          <w:szCs w:val="21"/>
          <w:highlight w:val="none"/>
        </w:rPr>
        <w:t>指标点5</w:t>
      </w:r>
      <w:r>
        <w:rPr>
          <w:rFonts w:hint="eastAsia"/>
          <w:color w:val="auto"/>
          <w:szCs w:val="21"/>
          <w:highlight w:val="none"/>
        </w:rPr>
        <w:t>-</w:t>
      </w:r>
      <w:r>
        <w:rPr>
          <w:color w:val="auto"/>
          <w:szCs w:val="21"/>
          <w:highlight w:val="none"/>
        </w:rPr>
        <w:t>2：能够选择与使用测控及相关工程领域常用的仪器、信息技术工具、现代工程工具和模拟软件，对复杂工程问题进行分析、计算与设计。</w:t>
      </w:r>
    </w:p>
    <w:p>
      <w:pPr>
        <w:snapToGrid w:val="0"/>
        <w:spacing w:line="360" w:lineRule="auto"/>
        <w:ind w:firstLine="420" w:firstLineChars="200"/>
        <w:rPr>
          <w:color w:val="auto"/>
          <w:szCs w:val="21"/>
          <w:highlight w:val="none"/>
        </w:rPr>
      </w:pPr>
      <w:r>
        <w:rPr>
          <w:color w:val="auto"/>
          <w:szCs w:val="21"/>
          <w:highlight w:val="none"/>
        </w:rPr>
        <w:t>指标点5</w:t>
      </w:r>
      <w:r>
        <w:rPr>
          <w:rFonts w:hint="eastAsia"/>
          <w:color w:val="auto"/>
          <w:szCs w:val="21"/>
          <w:highlight w:val="none"/>
        </w:rPr>
        <w:t>-</w:t>
      </w:r>
      <w:r>
        <w:rPr>
          <w:color w:val="auto"/>
          <w:szCs w:val="21"/>
          <w:highlight w:val="none"/>
        </w:rPr>
        <w:t>3：能够开发或二次开发恰当的仪器、现代工程工具和模拟软件，用于复杂工程问题的模拟与预测，并能够理解其局限性。</w:t>
      </w:r>
    </w:p>
    <w:p>
      <w:pPr>
        <w:snapToGrid w:val="0"/>
        <w:spacing w:line="360" w:lineRule="auto"/>
        <w:rPr>
          <w:color w:val="auto"/>
          <w:szCs w:val="21"/>
          <w:highlight w:val="none"/>
        </w:rPr>
      </w:pPr>
      <w:r>
        <w:rPr>
          <w:b/>
          <w:color w:val="auto"/>
          <w:szCs w:val="21"/>
          <w:highlight w:val="none"/>
        </w:rPr>
        <w:t>6.工程与社会。</w:t>
      </w:r>
      <w:r>
        <w:rPr>
          <w:color w:val="auto"/>
          <w:szCs w:val="21"/>
          <w:highlight w:val="none"/>
        </w:rPr>
        <w:t>能够基于测控工程领域相关背景知识进行合理分析，评价专业工程实践和测控及相关工程领域的工程问题解决方案对社会、健康、安全、法律以及文化的影响，并理解应承担的责任；</w:t>
      </w:r>
    </w:p>
    <w:p>
      <w:pPr>
        <w:snapToGrid w:val="0"/>
        <w:spacing w:line="360" w:lineRule="auto"/>
        <w:ind w:firstLine="420" w:firstLineChars="200"/>
        <w:rPr>
          <w:color w:val="auto"/>
          <w:szCs w:val="21"/>
          <w:highlight w:val="none"/>
        </w:rPr>
      </w:pPr>
      <w:r>
        <w:rPr>
          <w:color w:val="auto"/>
          <w:szCs w:val="21"/>
          <w:highlight w:val="none"/>
        </w:rPr>
        <w:t>指标点6</w:t>
      </w:r>
      <w:r>
        <w:rPr>
          <w:rFonts w:hint="eastAsia"/>
          <w:color w:val="auto"/>
          <w:szCs w:val="21"/>
          <w:highlight w:val="none"/>
        </w:rPr>
        <w:t>-</w:t>
      </w:r>
      <w:r>
        <w:rPr>
          <w:color w:val="auto"/>
          <w:szCs w:val="21"/>
          <w:highlight w:val="none"/>
        </w:rPr>
        <w:t>1：具有工程实习和社会实践的经历。</w:t>
      </w:r>
    </w:p>
    <w:p>
      <w:pPr>
        <w:snapToGrid w:val="0"/>
        <w:spacing w:line="360" w:lineRule="auto"/>
        <w:ind w:firstLine="420" w:firstLineChars="200"/>
        <w:rPr>
          <w:color w:val="auto"/>
          <w:szCs w:val="21"/>
          <w:highlight w:val="none"/>
        </w:rPr>
      </w:pPr>
      <w:r>
        <w:rPr>
          <w:color w:val="auto"/>
          <w:szCs w:val="21"/>
          <w:highlight w:val="none"/>
        </w:rPr>
        <w:t>指标点6</w:t>
      </w:r>
      <w:r>
        <w:rPr>
          <w:rFonts w:hint="eastAsia"/>
          <w:color w:val="auto"/>
          <w:szCs w:val="21"/>
          <w:highlight w:val="none"/>
        </w:rPr>
        <w:t>-</w:t>
      </w:r>
      <w:r>
        <w:rPr>
          <w:color w:val="auto"/>
          <w:szCs w:val="21"/>
          <w:highlight w:val="none"/>
        </w:rPr>
        <w:t>2：认知和理解国际国内形势的发展趋势，具有社会责任感。</w:t>
      </w:r>
    </w:p>
    <w:p>
      <w:pPr>
        <w:snapToGrid w:val="0"/>
        <w:spacing w:line="360" w:lineRule="auto"/>
        <w:ind w:firstLine="420" w:firstLineChars="200"/>
        <w:rPr>
          <w:color w:val="auto"/>
          <w:szCs w:val="21"/>
          <w:highlight w:val="none"/>
        </w:rPr>
      </w:pPr>
      <w:r>
        <w:rPr>
          <w:color w:val="auto"/>
          <w:szCs w:val="21"/>
          <w:highlight w:val="none"/>
        </w:rPr>
        <w:t>指标点6</w:t>
      </w:r>
      <w:r>
        <w:rPr>
          <w:rFonts w:hint="eastAsia"/>
          <w:color w:val="auto"/>
          <w:szCs w:val="21"/>
          <w:highlight w:val="none"/>
        </w:rPr>
        <w:t>-</w:t>
      </w:r>
      <w:r>
        <w:rPr>
          <w:color w:val="auto"/>
          <w:szCs w:val="21"/>
          <w:highlight w:val="none"/>
        </w:rPr>
        <w:t>3：能够客观分析和评价测控专业工程实践和解决方案对社会、健康、安全、法律以及文化的影响，并理解应承担的责任。</w:t>
      </w:r>
    </w:p>
    <w:p>
      <w:pPr>
        <w:snapToGrid w:val="0"/>
        <w:spacing w:line="360" w:lineRule="auto"/>
        <w:rPr>
          <w:color w:val="auto"/>
          <w:szCs w:val="21"/>
          <w:highlight w:val="none"/>
        </w:rPr>
      </w:pPr>
      <w:r>
        <w:rPr>
          <w:b/>
          <w:color w:val="auto"/>
          <w:szCs w:val="21"/>
          <w:highlight w:val="none"/>
        </w:rPr>
        <w:t>7.环境和可持续发展。</w:t>
      </w:r>
      <w:r>
        <w:rPr>
          <w:color w:val="auto"/>
          <w:szCs w:val="21"/>
          <w:highlight w:val="none"/>
        </w:rPr>
        <w:t>能够理解和评价针对测控及相关工程领域工程问题的专业工程实践对环境、社会可持续发展的影响；</w:t>
      </w:r>
    </w:p>
    <w:p>
      <w:pPr>
        <w:snapToGrid w:val="0"/>
        <w:spacing w:line="360" w:lineRule="auto"/>
        <w:ind w:firstLine="420" w:firstLineChars="200"/>
        <w:rPr>
          <w:color w:val="auto"/>
          <w:szCs w:val="21"/>
          <w:highlight w:val="none"/>
        </w:rPr>
      </w:pPr>
      <w:r>
        <w:rPr>
          <w:color w:val="auto"/>
          <w:szCs w:val="21"/>
          <w:highlight w:val="none"/>
        </w:rPr>
        <w:t>指标点7</w:t>
      </w:r>
      <w:r>
        <w:rPr>
          <w:rFonts w:hint="eastAsia"/>
          <w:color w:val="auto"/>
          <w:szCs w:val="21"/>
          <w:highlight w:val="none"/>
        </w:rPr>
        <w:t>-</w:t>
      </w:r>
      <w:r>
        <w:rPr>
          <w:color w:val="auto"/>
          <w:szCs w:val="21"/>
          <w:highlight w:val="none"/>
        </w:rPr>
        <w:t>1：在解决复杂工程问题的具体实践过程中，知晓和理解环境保护和可持续发展的理念和内涵。</w:t>
      </w:r>
    </w:p>
    <w:p>
      <w:pPr>
        <w:snapToGrid w:val="0"/>
        <w:spacing w:line="360" w:lineRule="auto"/>
        <w:ind w:firstLine="420" w:firstLineChars="200"/>
        <w:rPr>
          <w:color w:val="auto"/>
          <w:szCs w:val="21"/>
          <w:highlight w:val="none"/>
        </w:rPr>
      </w:pPr>
      <w:r>
        <w:rPr>
          <w:color w:val="auto"/>
          <w:szCs w:val="21"/>
          <w:highlight w:val="none"/>
        </w:rPr>
        <w:t>指标点7</w:t>
      </w:r>
      <w:r>
        <w:rPr>
          <w:rFonts w:hint="eastAsia"/>
          <w:color w:val="auto"/>
          <w:szCs w:val="21"/>
          <w:highlight w:val="none"/>
        </w:rPr>
        <w:t>-</w:t>
      </w:r>
      <w:r>
        <w:rPr>
          <w:color w:val="auto"/>
          <w:szCs w:val="21"/>
          <w:highlight w:val="none"/>
        </w:rPr>
        <w:t>2：能够站在环境保护和可持续发展的角度，正确理解和合理评价测控及相关工程领域复杂工程问题的专业工程实践对环境、社会可持续发展的影响。</w:t>
      </w:r>
    </w:p>
    <w:p>
      <w:pPr>
        <w:snapToGrid w:val="0"/>
        <w:spacing w:line="360" w:lineRule="auto"/>
        <w:rPr>
          <w:color w:val="auto"/>
          <w:szCs w:val="21"/>
          <w:highlight w:val="none"/>
        </w:rPr>
      </w:pPr>
      <w:r>
        <w:rPr>
          <w:b/>
          <w:color w:val="auto"/>
          <w:szCs w:val="21"/>
          <w:highlight w:val="none"/>
        </w:rPr>
        <w:t>8.职业规范。</w:t>
      </w:r>
      <w:r>
        <w:rPr>
          <w:color w:val="auto"/>
          <w:szCs w:val="21"/>
          <w:highlight w:val="none"/>
        </w:rPr>
        <w:t>具有人文社会科学素养、社会责任感，能够在工程实践中理解并遵守工程职业道德和规范，履行责任；</w:t>
      </w:r>
    </w:p>
    <w:p>
      <w:pPr>
        <w:snapToGrid w:val="0"/>
        <w:spacing w:line="360" w:lineRule="auto"/>
        <w:ind w:firstLine="420" w:firstLineChars="200"/>
        <w:rPr>
          <w:color w:val="auto"/>
          <w:szCs w:val="21"/>
          <w:highlight w:val="none"/>
        </w:rPr>
      </w:pPr>
      <w:r>
        <w:rPr>
          <w:color w:val="auto"/>
          <w:szCs w:val="21"/>
          <w:highlight w:val="none"/>
        </w:rPr>
        <w:t>指标点8</w:t>
      </w:r>
      <w:r>
        <w:rPr>
          <w:rFonts w:hint="eastAsia"/>
          <w:color w:val="auto"/>
          <w:szCs w:val="21"/>
          <w:highlight w:val="none"/>
        </w:rPr>
        <w:t>-</w:t>
      </w:r>
      <w:r>
        <w:rPr>
          <w:color w:val="auto"/>
          <w:szCs w:val="21"/>
          <w:highlight w:val="none"/>
        </w:rPr>
        <w:t>1：树立正确的人生观、价值观和世界观，具有人文社会科学素养和社会责任感。</w:t>
      </w:r>
    </w:p>
    <w:p>
      <w:pPr>
        <w:snapToGrid w:val="0"/>
        <w:spacing w:line="360" w:lineRule="auto"/>
        <w:ind w:firstLine="420" w:firstLineChars="200"/>
        <w:rPr>
          <w:color w:val="auto"/>
          <w:szCs w:val="21"/>
          <w:highlight w:val="none"/>
        </w:rPr>
      </w:pPr>
      <w:r>
        <w:rPr>
          <w:color w:val="auto"/>
          <w:szCs w:val="21"/>
          <w:highlight w:val="none"/>
        </w:rPr>
        <w:t>指标点8</w:t>
      </w:r>
      <w:r>
        <w:rPr>
          <w:rFonts w:hint="eastAsia"/>
          <w:color w:val="auto"/>
          <w:szCs w:val="21"/>
          <w:highlight w:val="none"/>
        </w:rPr>
        <w:t>-</w:t>
      </w:r>
      <w:r>
        <w:rPr>
          <w:color w:val="auto"/>
          <w:szCs w:val="21"/>
          <w:highlight w:val="none"/>
        </w:rPr>
        <w:t>2：能够在工程实践中理解并遵守工程职业道德和规范，履行责任。</w:t>
      </w:r>
    </w:p>
    <w:p>
      <w:pPr>
        <w:snapToGrid w:val="0"/>
        <w:spacing w:line="360" w:lineRule="auto"/>
        <w:rPr>
          <w:color w:val="auto"/>
          <w:szCs w:val="21"/>
          <w:highlight w:val="none"/>
        </w:rPr>
      </w:pPr>
      <w:r>
        <w:rPr>
          <w:b/>
          <w:color w:val="auto"/>
          <w:szCs w:val="21"/>
          <w:highlight w:val="none"/>
        </w:rPr>
        <w:t>9.个人和团队。</w:t>
      </w:r>
      <w:r>
        <w:rPr>
          <w:color w:val="auto"/>
          <w:szCs w:val="21"/>
          <w:highlight w:val="none"/>
        </w:rPr>
        <w:t>能够在多学科背景下的团队中承担个体、团队成员以及负责人的角色；</w:t>
      </w:r>
    </w:p>
    <w:p>
      <w:pPr>
        <w:snapToGrid w:val="0"/>
        <w:spacing w:line="360" w:lineRule="auto"/>
        <w:ind w:firstLine="420" w:firstLineChars="200"/>
        <w:rPr>
          <w:color w:val="auto"/>
          <w:szCs w:val="21"/>
          <w:highlight w:val="none"/>
        </w:rPr>
      </w:pPr>
      <w:r>
        <w:rPr>
          <w:color w:val="auto"/>
          <w:szCs w:val="21"/>
          <w:highlight w:val="none"/>
        </w:rPr>
        <w:t>指标点9</w:t>
      </w:r>
      <w:r>
        <w:rPr>
          <w:rFonts w:hint="eastAsia"/>
          <w:color w:val="auto"/>
          <w:szCs w:val="21"/>
          <w:highlight w:val="none"/>
        </w:rPr>
        <w:t>-</w:t>
      </w:r>
      <w:r>
        <w:rPr>
          <w:color w:val="auto"/>
          <w:szCs w:val="21"/>
          <w:highlight w:val="none"/>
        </w:rPr>
        <w:t>1：能够了解多学科背景下团队的构成以及不同角色成员的职责。</w:t>
      </w:r>
    </w:p>
    <w:p>
      <w:pPr>
        <w:snapToGrid w:val="0"/>
        <w:spacing w:line="360" w:lineRule="auto"/>
        <w:ind w:firstLine="420" w:firstLineChars="200"/>
        <w:rPr>
          <w:color w:val="auto"/>
          <w:szCs w:val="21"/>
          <w:highlight w:val="none"/>
        </w:rPr>
      </w:pPr>
      <w:r>
        <w:rPr>
          <w:color w:val="auto"/>
          <w:szCs w:val="21"/>
          <w:highlight w:val="none"/>
        </w:rPr>
        <w:t>指标点9</w:t>
      </w:r>
      <w:r>
        <w:rPr>
          <w:rFonts w:hint="eastAsia"/>
          <w:color w:val="auto"/>
          <w:szCs w:val="21"/>
          <w:highlight w:val="none"/>
        </w:rPr>
        <w:t>-</w:t>
      </w:r>
      <w:r>
        <w:rPr>
          <w:color w:val="auto"/>
          <w:szCs w:val="21"/>
          <w:highlight w:val="none"/>
        </w:rPr>
        <w:t>2：能够在团队中承担个体、团队成员以及负责人的角色，能够组织、协调和指挥团队开展工作，具备良好的团队合作精神。</w:t>
      </w:r>
    </w:p>
    <w:p>
      <w:pPr>
        <w:snapToGrid w:val="0"/>
        <w:spacing w:line="360" w:lineRule="auto"/>
        <w:rPr>
          <w:color w:val="auto"/>
          <w:szCs w:val="21"/>
          <w:highlight w:val="none"/>
        </w:rPr>
      </w:pPr>
      <w:r>
        <w:rPr>
          <w:b/>
          <w:color w:val="auto"/>
          <w:szCs w:val="21"/>
          <w:highlight w:val="none"/>
        </w:rPr>
        <w:t>10.沟通能力。</w:t>
      </w:r>
      <w:r>
        <w:rPr>
          <w:color w:val="auto"/>
          <w:szCs w:val="21"/>
          <w:highlight w:val="none"/>
        </w:rPr>
        <w:t>能够就测控及相关工程领域工程问题与业界同行及社会公众进行有效沟通和交流，并具备一定的国际视野，能够在跨文化背景下进行沟通和交流。</w:t>
      </w:r>
    </w:p>
    <w:p>
      <w:pPr>
        <w:snapToGrid w:val="0"/>
        <w:spacing w:line="360" w:lineRule="auto"/>
        <w:ind w:firstLine="420" w:firstLineChars="200"/>
        <w:rPr>
          <w:color w:val="auto"/>
          <w:szCs w:val="21"/>
          <w:highlight w:val="none"/>
        </w:rPr>
      </w:pPr>
      <w:r>
        <w:rPr>
          <w:color w:val="auto"/>
          <w:szCs w:val="21"/>
          <w:highlight w:val="none"/>
        </w:rPr>
        <w:t>指标点10</w:t>
      </w:r>
      <w:r>
        <w:rPr>
          <w:rFonts w:hint="eastAsia"/>
          <w:color w:val="auto"/>
          <w:szCs w:val="21"/>
          <w:highlight w:val="none"/>
        </w:rPr>
        <w:t>-</w:t>
      </w:r>
      <w:r>
        <w:rPr>
          <w:color w:val="auto"/>
          <w:szCs w:val="21"/>
          <w:highlight w:val="none"/>
        </w:rPr>
        <w:t>1：了解测控专业科技文档的基本构成以及要求，能就专业问题，以口头、文稿、图表等方式，准确表达自己的观点，回应质疑，理解与业界同行和社会公众交流的差异性。</w:t>
      </w:r>
    </w:p>
    <w:p>
      <w:pPr>
        <w:snapToGrid w:val="0"/>
        <w:spacing w:line="360" w:lineRule="auto"/>
        <w:ind w:firstLine="420" w:firstLineChars="200"/>
        <w:rPr>
          <w:color w:val="auto"/>
          <w:szCs w:val="21"/>
          <w:highlight w:val="none"/>
        </w:rPr>
      </w:pPr>
      <w:r>
        <w:rPr>
          <w:color w:val="auto"/>
          <w:szCs w:val="21"/>
          <w:highlight w:val="none"/>
        </w:rPr>
        <w:t>指标点10</w:t>
      </w:r>
      <w:r>
        <w:rPr>
          <w:rFonts w:hint="eastAsia"/>
          <w:color w:val="auto"/>
          <w:szCs w:val="21"/>
          <w:highlight w:val="none"/>
        </w:rPr>
        <w:t>-</w:t>
      </w:r>
      <w:r>
        <w:rPr>
          <w:color w:val="auto"/>
          <w:szCs w:val="21"/>
          <w:highlight w:val="none"/>
        </w:rPr>
        <w:t>2：具有一定的国际化视野，对测控及相关工程领域的国际发展趋势和研究热点有基本了解，能够就测控工程领域的工程问题在跨文化背景下进行沟通和交流。</w:t>
      </w:r>
    </w:p>
    <w:p>
      <w:pPr>
        <w:snapToGrid w:val="0"/>
        <w:spacing w:line="360" w:lineRule="auto"/>
        <w:ind w:firstLine="420" w:firstLineChars="200"/>
        <w:rPr>
          <w:color w:val="auto"/>
          <w:szCs w:val="21"/>
          <w:highlight w:val="none"/>
        </w:rPr>
      </w:pPr>
      <w:r>
        <w:rPr>
          <w:color w:val="auto"/>
          <w:szCs w:val="21"/>
          <w:highlight w:val="none"/>
        </w:rPr>
        <w:t>指标点10.3：具备英语的语言和书面表达能力，能就专业问题，运用英语较准确地进行口头和书面交流。</w:t>
      </w:r>
    </w:p>
    <w:p>
      <w:pPr>
        <w:snapToGrid w:val="0"/>
        <w:spacing w:line="360" w:lineRule="auto"/>
        <w:rPr>
          <w:color w:val="auto"/>
          <w:szCs w:val="21"/>
          <w:highlight w:val="none"/>
        </w:rPr>
      </w:pPr>
      <w:r>
        <w:rPr>
          <w:b/>
          <w:color w:val="auto"/>
          <w:szCs w:val="21"/>
          <w:highlight w:val="none"/>
        </w:rPr>
        <w:t>11.项目管理能力。</w:t>
      </w:r>
      <w:r>
        <w:rPr>
          <w:color w:val="auto"/>
          <w:szCs w:val="21"/>
          <w:highlight w:val="none"/>
        </w:rPr>
        <w:t>理解并掌握工程项目的立项、实施、验收、完善及推广等程序，具有小型项目管理能力，并能在多学科环境中应用；</w:t>
      </w:r>
    </w:p>
    <w:p>
      <w:pPr>
        <w:snapToGrid w:val="0"/>
        <w:spacing w:line="360" w:lineRule="auto"/>
        <w:ind w:firstLine="420" w:firstLineChars="200"/>
        <w:rPr>
          <w:color w:val="auto"/>
          <w:szCs w:val="21"/>
          <w:highlight w:val="none"/>
        </w:rPr>
      </w:pPr>
      <w:r>
        <w:rPr>
          <w:color w:val="auto"/>
          <w:szCs w:val="21"/>
          <w:highlight w:val="none"/>
        </w:rPr>
        <w:t>指标点11</w:t>
      </w:r>
      <w:r>
        <w:rPr>
          <w:rFonts w:hint="eastAsia"/>
          <w:color w:val="auto"/>
          <w:szCs w:val="21"/>
          <w:highlight w:val="none"/>
        </w:rPr>
        <w:t>-</w:t>
      </w:r>
      <w:r>
        <w:rPr>
          <w:color w:val="auto"/>
          <w:szCs w:val="21"/>
          <w:highlight w:val="none"/>
        </w:rPr>
        <w:t>1：理解并掌握工程项目中涉及的工程管理原理与经济决策方法。</w:t>
      </w:r>
    </w:p>
    <w:p>
      <w:pPr>
        <w:snapToGrid w:val="0"/>
        <w:spacing w:line="360" w:lineRule="auto"/>
        <w:ind w:firstLine="420" w:firstLineChars="200"/>
        <w:rPr>
          <w:color w:val="auto"/>
          <w:szCs w:val="21"/>
          <w:highlight w:val="none"/>
        </w:rPr>
      </w:pPr>
      <w:r>
        <w:rPr>
          <w:color w:val="auto"/>
          <w:szCs w:val="21"/>
          <w:highlight w:val="none"/>
        </w:rPr>
        <w:t>指标点11</w:t>
      </w:r>
      <w:r>
        <w:rPr>
          <w:rFonts w:hint="eastAsia"/>
          <w:color w:val="auto"/>
          <w:szCs w:val="21"/>
          <w:highlight w:val="none"/>
        </w:rPr>
        <w:t>-</w:t>
      </w:r>
      <w:r>
        <w:rPr>
          <w:color w:val="auto"/>
          <w:szCs w:val="21"/>
          <w:highlight w:val="none"/>
        </w:rPr>
        <w:t>2：能够将工程管理原理与经济决策方法应用于多学科环境下测控工程设计、运行及管理中。</w:t>
      </w:r>
    </w:p>
    <w:p>
      <w:pPr>
        <w:adjustRightInd w:val="0"/>
        <w:snapToGrid w:val="0"/>
        <w:spacing w:line="360" w:lineRule="auto"/>
        <w:rPr>
          <w:color w:val="auto"/>
          <w:szCs w:val="21"/>
          <w:highlight w:val="none"/>
        </w:rPr>
      </w:pPr>
      <w:r>
        <w:rPr>
          <w:b/>
          <w:color w:val="auto"/>
          <w:szCs w:val="21"/>
          <w:highlight w:val="none"/>
        </w:rPr>
        <w:t>12.终身学习能力。</w:t>
      </w:r>
      <w:r>
        <w:rPr>
          <w:color w:val="auto"/>
          <w:szCs w:val="21"/>
          <w:highlight w:val="none"/>
        </w:rPr>
        <w:t>具有自主学习和终身学习的意识，有不断学习和适应发展的能力。</w:t>
      </w:r>
    </w:p>
    <w:p>
      <w:pPr>
        <w:snapToGrid w:val="0"/>
        <w:spacing w:line="360" w:lineRule="auto"/>
        <w:ind w:firstLine="420" w:firstLineChars="200"/>
        <w:rPr>
          <w:color w:val="auto"/>
          <w:szCs w:val="21"/>
          <w:highlight w:val="none"/>
        </w:rPr>
      </w:pPr>
      <w:r>
        <w:rPr>
          <w:color w:val="auto"/>
          <w:szCs w:val="21"/>
          <w:highlight w:val="none"/>
        </w:rPr>
        <w:t>指标点12</w:t>
      </w:r>
      <w:r>
        <w:rPr>
          <w:rFonts w:hint="eastAsia"/>
          <w:color w:val="auto"/>
          <w:szCs w:val="21"/>
          <w:highlight w:val="none"/>
        </w:rPr>
        <w:t>-</w:t>
      </w:r>
      <w:r>
        <w:rPr>
          <w:color w:val="auto"/>
          <w:szCs w:val="21"/>
          <w:highlight w:val="none"/>
        </w:rPr>
        <w:t>1：对自主学习和终身学习有正确的认识。</w:t>
      </w:r>
    </w:p>
    <w:p>
      <w:pPr>
        <w:adjustRightInd w:val="0"/>
        <w:snapToGrid w:val="0"/>
        <w:spacing w:line="360" w:lineRule="auto"/>
        <w:ind w:firstLine="420" w:firstLineChars="200"/>
        <w:rPr>
          <w:color w:val="auto"/>
          <w:szCs w:val="21"/>
          <w:highlight w:val="none"/>
        </w:rPr>
      </w:pPr>
      <w:r>
        <w:rPr>
          <w:color w:val="auto"/>
          <w:szCs w:val="21"/>
          <w:highlight w:val="none"/>
        </w:rPr>
        <w:t>指标点12</w:t>
      </w:r>
      <w:r>
        <w:rPr>
          <w:rFonts w:hint="eastAsia"/>
          <w:color w:val="auto"/>
          <w:szCs w:val="21"/>
          <w:highlight w:val="none"/>
        </w:rPr>
        <w:t>-</w:t>
      </w:r>
      <w:r>
        <w:rPr>
          <w:color w:val="auto"/>
          <w:szCs w:val="21"/>
          <w:highlight w:val="none"/>
        </w:rPr>
        <w:t>2：具有一定的自我学习和完善的能力。</w:t>
      </w: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三，学制</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四年</w:t>
      </w: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四，修业年限</w:t>
      </w:r>
    </w:p>
    <w:p>
      <w:pPr>
        <w:adjustRightInd w:val="0"/>
        <w:snapToGrid w:val="0"/>
        <w:spacing w:line="360" w:lineRule="auto"/>
        <w:ind w:firstLine="420"/>
        <w:rPr>
          <w:color w:val="auto"/>
          <w:highlight w:val="none"/>
        </w:rPr>
      </w:pPr>
      <w:r>
        <w:rPr>
          <w:color w:val="auto"/>
          <w:highlight w:val="none"/>
        </w:rPr>
        <w:t>实行弹性</w:t>
      </w:r>
      <w:r>
        <w:rPr>
          <w:rFonts w:hint="eastAsia"/>
          <w:color w:val="auto"/>
          <w:highlight w:val="none"/>
        </w:rPr>
        <w:t>修业年限</w:t>
      </w:r>
      <w:r>
        <w:rPr>
          <w:color w:val="auto"/>
          <w:highlight w:val="none"/>
        </w:rPr>
        <w:t>，</w:t>
      </w:r>
      <w:r>
        <w:rPr>
          <w:rFonts w:hint="eastAsia"/>
          <w:color w:val="auto"/>
          <w:highlight w:val="none"/>
        </w:rPr>
        <w:t>一般为四年，</w:t>
      </w:r>
      <w:r>
        <w:rPr>
          <w:color w:val="auto"/>
          <w:highlight w:val="none"/>
        </w:rPr>
        <w:t>弹性幅度最短不低于三年，最长不多于六年</w:t>
      </w:r>
      <w:r>
        <w:rPr>
          <w:rFonts w:hint="eastAsia"/>
          <w:color w:val="auto"/>
          <w:highlight w:val="none"/>
        </w:rPr>
        <w:t>。</w:t>
      </w: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五，毕业与学位授予</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本专业学生必须按指导性培养计划的要求修读完成各类别课程规定的最低学分、并完成第二课堂规定的所有内容，总学分达到1</w:t>
      </w:r>
      <w:r>
        <w:rPr>
          <w:rFonts w:ascii="宋体" w:hAnsi="宋体"/>
          <w:color w:val="auto"/>
          <w:szCs w:val="21"/>
          <w:highlight w:val="none"/>
        </w:rPr>
        <w:t>66</w:t>
      </w:r>
      <w:r>
        <w:rPr>
          <w:rFonts w:hint="eastAsia" w:ascii="宋体" w:hAnsi="宋体"/>
          <w:color w:val="auto"/>
          <w:szCs w:val="21"/>
          <w:highlight w:val="none"/>
        </w:rPr>
        <w:t>学分，方可毕业；达到学士学位授予条件者，授予工学学士学位。</w:t>
      </w: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六，主干学科</w:t>
      </w:r>
    </w:p>
    <w:p>
      <w:pPr>
        <w:pStyle w:val="2"/>
        <w:adjustRightInd w:val="0"/>
        <w:spacing w:line="360" w:lineRule="auto"/>
        <w:ind w:left="0" w:leftChars="0" w:firstLine="420"/>
        <w:rPr>
          <w:rFonts w:ascii="黑体" w:eastAsia="黑体"/>
          <w:b/>
          <w:color w:val="auto"/>
          <w:highlight w:val="none"/>
        </w:rPr>
      </w:pPr>
      <w:r>
        <w:rPr>
          <w:rFonts w:hint="eastAsia"/>
          <w:color w:val="auto"/>
          <w:sz w:val="21"/>
          <w:szCs w:val="21"/>
          <w:highlight w:val="none"/>
        </w:rPr>
        <w:t>仪器科学与技术、控制理论与控制工程、检测技术与自动化装置。</w:t>
      </w: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七，专业核心课程</w:t>
      </w:r>
    </w:p>
    <w:p>
      <w:pPr>
        <w:snapToGrid w:val="0"/>
        <w:spacing w:line="360" w:lineRule="auto"/>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szCs w:val="21"/>
          <w:highlight w:val="none"/>
        </w:rPr>
        <w:t xml:space="preserve">   程序设计基础、自动控制原理、传感器原理、信号与系统、误差理论与数据处理、运动控制系统、光电传感与检测、智能仪器技术、数字图像处理（双语）、虚拟仪器技术、测控技术与系统、工程光学、</w:t>
      </w:r>
      <w:r>
        <w:rPr>
          <w:rFonts w:hint="eastAsia" w:ascii="宋体" w:hAnsi="宋体" w:cs="宋体"/>
          <w:color w:val="auto"/>
          <w:sz w:val="20"/>
          <w:szCs w:val="20"/>
          <w:highlight w:val="none"/>
        </w:rPr>
        <w:t>工业自动化与机器人技术、PLC原理及应用</w:t>
      </w:r>
    </w:p>
    <w:p>
      <w:pPr>
        <w:adjustRightInd w:val="0"/>
        <w:snapToGrid w:val="0"/>
        <w:spacing w:line="360" w:lineRule="auto"/>
        <w:rPr>
          <w:b/>
          <w:color w:val="auto"/>
          <w:highlight w:val="none"/>
        </w:rPr>
      </w:pPr>
      <w:r>
        <w:rPr>
          <w:rFonts w:hint="eastAsia" w:ascii="黑体" w:eastAsia="黑体"/>
          <w:b/>
          <w:color w:val="auto"/>
          <w:highlight w:val="none"/>
        </w:rPr>
        <w:t>八，课程体系构成及学时分配比例（不含第二课堂）</w:t>
      </w:r>
    </w:p>
    <w:tbl>
      <w:tblPr>
        <w:tblStyle w:val="3"/>
        <w:tblW w:w="8758" w:type="dxa"/>
        <w:tblInd w:w="-1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61"/>
        <w:gridCol w:w="1303"/>
        <w:gridCol w:w="1302"/>
        <w:gridCol w:w="1014"/>
        <w:gridCol w:w="1158"/>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color w:val="auto"/>
                <w:kern w:val="0"/>
                <w:szCs w:val="21"/>
                <w:highlight w:val="none"/>
              </w:rPr>
            </w:pPr>
            <w:r>
              <w:rPr>
                <w:rFonts w:asciiTheme="minorEastAsia" w:hAnsiTheme="minorEastAsia" w:eastAsiaTheme="minorEastAsia"/>
                <w:b/>
                <w:bCs/>
                <w:color w:val="auto"/>
                <w:kern w:val="0"/>
                <w:szCs w:val="21"/>
                <w:highlight w:val="none"/>
              </w:rPr>
              <w:t>课程类别</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color w:val="auto"/>
                <w:kern w:val="0"/>
                <w:szCs w:val="21"/>
                <w:highlight w:val="none"/>
              </w:rPr>
            </w:pPr>
            <w:r>
              <w:rPr>
                <w:rFonts w:asciiTheme="minorEastAsia" w:hAnsiTheme="minorEastAsia" w:eastAsiaTheme="minorEastAsia"/>
                <w:b/>
                <w:bCs/>
                <w:color w:val="auto"/>
                <w:kern w:val="0"/>
                <w:szCs w:val="21"/>
                <w:highlight w:val="none"/>
              </w:rPr>
              <w:t>总学分</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Theme="minorEastAsia" w:hAnsiTheme="minorEastAsia" w:eastAsiaTheme="minorEastAsia"/>
                <w:b/>
                <w:bCs/>
                <w:color w:val="auto"/>
                <w:kern w:val="0"/>
                <w:szCs w:val="21"/>
                <w:highlight w:val="none"/>
              </w:rPr>
            </w:pPr>
            <w:r>
              <w:rPr>
                <w:rFonts w:asciiTheme="minorEastAsia" w:hAnsiTheme="minorEastAsia" w:eastAsiaTheme="minorEastAsia"/>
                <w:b/>
                <w:bCs/>
                <w:color w:val="auto"/>
                <w:kern w:val="0"/>
                <w:szCs w:val="21"/>
                <w:highlight w:val="none"/>
              </w:rPr>
              <w:t>％</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color w:val="auto"/>
                <w:kern w:val="0"/>
                <w:szCs w:val="21"/>
                <w:highlight w:val="none"/>
              </w:rPr>
            </w:pPr>
            <w:r>
              <w:rPr>
                <w:rFonts w:asciiTheme="minorEastAsia" w:hAnsiTheme="minorEastAsia" w:eastAsiaTheme="minorEastAsia"/>
                <w:b/>
                <w:bCs/>
                <w:color w:val="auto"/>
                <w:kern w:val="0"/>
                <w:szCs w:val="21"/>
                <w:highlight w:val="none"/>
              </w:rPr>
              <w:t>总学时</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color w:val="auto"/>
                <w:kern w:val="0"/>
                <w:szCs w:val="21"/>
                <w:highlight w:val="none"/>
              </w:rPr>
            </w:pPr>
            <w:r>
              <w:rPr>
                <w:rFonts w:asciiTheme="minorEastAsia" w:hAnsiTheme="minorEastAsia" w:eastAsiaTheme="minorEastAsia"/>
                <w:b/>
                <w:bCs/>
                <w:color w:val="auto"/>
                <w:kern w:val="0"/>
                <w:szCs w:val="21"/>
                <w:highlight w:val="none"/>
              </w:rPr>
              <w:t>理论学时</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color w:val="auto"/>
                <w:kern w:val="0"/>
                <w:szCs w:val="21"/>
                <w:highlight w:val="none"/>
              </w:rPr>
            </w:pPr>
            <w:r>
              <w:rPr>
                <w:rFonts w:asciiTheme="minorEastAsia" w:hAnsiTheme="minorEastAsia" w:eastAsiaTheme="minorEastAsia"/>
                <w:b/>
                <w:bCs/>
                <w:color w:val="auto"/>
                <w:kern w:val="0"/>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公共基础课</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60.5</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kern w:val="0"/>
                <w:szCs w:val="21"/>
                <w:highlight w:val="none"/>
                <w:lang w:bidi="ar"/>
              </w:rPr>
              <w:t>36.7</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1104</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1022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通识课</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Theme="minorEastAsia" w:hAnsiTheme="minorEastAsia" w:eastAsiaTheme="minorEastAsia"/>
                <w:color w:val="auto"/>
                <w:kern w:val="0"/>
                <w:szCs w:val="21"/>
                <w:highlight w:val="none"/>
                <w:lang w:bidi="ar"/>
              </w:rPr>
            </w:pPr>
            <w:r>
              <w:rPr>
                <w:rFonts w:asciiTheme="minorEastAsia" w:hAnsiTheme="minorEastAsia" w:eastAsiaTheme="minorEastAsia"/>
                <w:color w:val="auto"/>
                <w:kern w:val="0"/>
                <w:szCs w:val="21"/>
                <w:highlight w:val="none"/>
                <w:lang w:bidi="ar"/>
              </w:rPr>
              <w:t>6</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160</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160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工程基础课</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20</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2.1</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320</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240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专业基础课</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16</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kern w:val="0"/>
                <w:szCs w:val="21"/>
                <w:highlight w:val="none"/>
                <w:lang w:bidi="ar"/>
              </w:rPr>
              <w:t>9.7</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56</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20</w:t>
            </w:r>
            <w:r>
              <w:rPr>
                <w:rFonts w:hint="eastAsia" w:asciiTheme="minorEastAsia" w:hAnsiTheme="minorEastAsia" w:eastAsiaTheme="minorEastAsia"/>
                <w:color w:val="auto"/>
                <w:szCs w:val="21"/>
                <w:highlight w:val="none"/>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专  业  课</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25</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kern w:val="0"/>
                <w:szCs w:val="21"/>
                <w:highlight w:val="none"/>
                <w:lang w:bidi="ar"/>
              </w:rPr>
              <w:t>15.2</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400</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302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专业实践</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33.5</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Theme="minorEastAsia" w:hAnsiTheme="minorEastAsia" w:eastAsiaTheme="minorEastAsia"/>
                <w:color w:val="auto"/>
                <w:szCs w:val="21"/>
                <w:highlight w:val="none"/>
              </w:rPr>
            </w:pPr>
            <w:r>
              <w:rPr>
                <w:rFonts w:asciiTheme="minorEastAsia" w:hAnsiTheme="minorEastAsia" w:eastAsiaTheme="minorEastAsia"/>
                <w:color w:val="auto"/>
                <w:kern w:val="0"/>
                <w:szCs w:val="21"/>
                <w:highlight w:val="none"/>
                <w:lang w:bidi="ar"/>
              </w:rPr>
              <w:t>20.3</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952</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合计</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165</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=SUM(ABOVE) </w:instrText>
            </w:r>
            <w:r>
              <w:rPr>
                <w:rFonts w:asciiTheme="minorEastAsia" w:hAnsiTheme="minorEastAsia" w:eastAsiaTheme="minorEastAsia"/>
                <w:color w:val="auto"/>
                <w:szCs w:val="21"/>
                <w:highlight w:val="none"/>
              </w:rPr>
              <w:fldChar w:fldCharType="separate"/>
            </w:r>
            <w:r>
              <w:rPr>
                <w:rFonts w:asciiTheme="minorEastAsia" w:hAnsiTheme="minorEastAsia" w:eastAsiaTheme="minorEastAsia"/>
                <w:color w:val="auto"/>
                <w:szCs w:val="21"/>
                <w:highlight w:val="none"/>
              </w:rPr>
              <w:t>100</w:t>
            </w:r>
            <w:r>
              <w:rPr>
                <w:rFonts w:asciiTheme="minorEastAsia" w:hAnsiTheme="minorEastAsia" w:eastAsiaTheme="minorEastAsia"/>
                <w:color w:val="auto"/>
                <w:szCs w:val="21"/>
                <w:highlight w:val="none"/>
              </w:rPr>
              <w:fldChar w:fldCharType="end"/>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default" w:asciiTheme="minorEastAsia" w:hAnsiTheme="minorEastAsia" w:eastAsiaTheme="minorEastAsia"/>
                <w:color w:val="auto"/>
                <w:szCs w:val="21"/>
                <w:highlight w:val="none"/>
                <w:lang w:eastAsia="zh-CN"/>
              </w:rPr>
              <w:fldChar w:fldCharType="begin"/>
            </w:r>
            <w:r>
              <w:rPr>
                <w:rFonts w:hint="default" w:asciiTheme="minorEastAsia" w:hAnsiTheme="minorEastAsia" w:eastAsiaTheme="minorEastAsia"/>
                <w:color w:val="auto"/>
                <w:szCs w:val="21"/>
                <w:highlight w:val="none"/>
                <w:lang w:eastAsia="zh-CN"/>
              </w:rPr>
              <w:instrText xml:space="preserve"> =SUM(ABOVE) \* MERGEFORMAT </w:instrText>
            </w:r>
            <w:r>
              <w:rPr>
                <w:rFonts w:hint="default" w:asciiTheme="minorEastAsia" w:hAnsiTheme="minorEastAsia" w:eastAsiaTheme="minorEastAsia"/>
                <w:color w:val="auto"/>
                <w:szCs w:val="21"/>
                <w:highlight w:val="none"/>
                <w:lang w:eastAsia="zh-CN"/>
              </w:rPr>
              <w:fldChar w:fldCharType="separate"/>
            </w:r>
            <w:r>
              <w:rPr>
                <w:rFonts w:hint="default" w:asciiTheme="minorEastAsia" w:hAnsiTheme="minorEastAsia" w:eastAsiaTheme="minorEastAsia"/>
                <w:color w:val="auto"/>
                <w:szCs w:val="21"/>
                <w:highlight w:val="none"/>
                <w:lang w:eastAsia="zh-CN"/>
              </w:rPr>
              <w:t>3192</w:t>
            </w:r>
            <w:r>
              <w:rPr>
                <w:rFonts w:hint="default" w:asciiTheme="minorEastAsia" w:hAnsiTheme="minorEastAsia" w:eastAsiaTheme="minorEastAsia"/>
                <w:color w:val="auto"/>
                <w:szCs w:val="21"/>
                <w:highlight w:val="none"/>
                <w:lang w:eastAsia="zh-CN"/>
              </w:rPr>
              <w:fldChar w:fldCharType="end"/>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eastAsia="zh-CN"/>
              </w:rPr>
              <w:fldChar w:fldCharType="begin"/>
            </w:r>
            <w:r>
              <w:rPr>
                <w:rFonts w:hint="default" w:asciiTheme="minorEastAsia" w:hAnsiTheme="minorEastAsia" w:eastAsiaTheme="minorEastAsia"/>
                <w:color w:val="auto"/>
                <w:szCs w:val="21"/>
                <w:highlight w:val="none"/>
                <w:lang w:eastAsia="zh-CN"/>
              </w:rPr>
              <w:instrText xml:space="preserve"> =SUM(ABOVE) \* MERGEFORMAT </w:instrText>
            </w:r>
            <w:r>
              <w:rPr>
                <w:rFonts w:hint="default" w:asciiTheme="minorEastAsia" w:hAnsiTheme="minorEastAsia" w:eastAsiaTheme="minorEastAsia"/>
                <w:color w:val="auto"/>
                <w:szCs w:val="21"/>
                <w:highlight w:val="none"/>
                <w:lang w:eastAsia="zh-CN"/>
              </w:rPr>
              <w:fldChar w:fldCharType="separate"/>
            </w:r>
            <w:r>
              <w:rPr>
                <w:rFonts w:hint="default" w:asciiTheme="minorEastAsia" w:hAnsiTheme="minorEastAsia" w:eastAsiaTheme="minorEastAsia"/>
                <w:color w:val="auto"/>
                <w:szCs w:val="21"/>
                <w:highlight w:val="none"/>
                <w:lang w:eastAsia="zh-CN"/>
              </w:rPr>
              <w:t>1930</w:t>
            </w:r>
            <w:r>
              <w:rPr>
                <w:rFonts w:hint="default" w:asciiTheme="minorEastAsia" w:hAnsiTheme="minorEastAsia" w:eastAsiaTheme="minorEastAsia"/>
                <w:color w:val="auto"/>
                <w:szCs w:val="21"/>
                <w:highlight w:val="none"/>
                <w:lang w:eastAsia="zh-CN"/>
              </w:rPr>
              <w:fldChar w:fldCharType="end"/>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auto"/>
                <w:szCs w:val="21"/>
                <w:highlight w:val="none"/>
                <w:lang w:eastAsia="zh-CN"/>
              </w:rPr>
            </w:pPr>
            <w:r>
              <w:rPr>
                <w:rFonts w:hint="default" w:asciiTheme="minorEastAsia" w:hAnsiTheme="minorEastAsia" w:eastAsiaTheme="minorEastAsia"/>
                <w:color w:val="auto"/>
                <w:szCs w:val="21"/>
                <w:highlight w:val="none"/>
                <w:lang w:eastAsia="zh-CN"/>
              </w:rPr>
              <w:fldChar w:fldCharType="begin"/>
            </w:r>
            <w:r>
              <w:rPr>
                <w:rFonts w:hint="default" w:asciiTheme="minorEastAsia" w:hAnsiTheme="minorEastAsia" w:eastAsiaTheme="minorEastAsia"/>
                <w:color w:val="auto"/>
                <w:szCs w:val="21"/>
                <w:highlight w:val="none"/>
                <w:lang w:eastAsia="zh-CN"/>
              </w:rPr>
              <w:instrText xml:space="preserve"> =SUM(ABOVE) \* MERGEFORMAT </w:instrText>
            </w:r>
            <w:r>
              <w:rPr>
                <w:rFonts w:hint="default" w:asciiTheme="minorEastAsia" w:hAnsiTheme="minorEastAsia" w:eastAsiaTheme="minorEastAsia"/>
                <w:color w:val="auto"/>
                <w:szCs w:val="21"/>
                <w:highlight w:val="none"/>
                <w:lang w:eastAsia="zh-CN"/>
              </w:rPr>
              <w:fldChar w:fldCharType="separate"/>
            </w:r>
            <w:r>
              <w:rPr>
                <w:rFonts w:hint="default" w:asciiTheme="minorEastAsia" w:hAnsiTheme="minorEastAsia" w:eastAsiaTheme="minorEastAsia"/>
                <w:color w:val="auto"/>
                <w:szCs w:val="21"/>
                <w:highlight w:val="none"/>
                <w:lang w:eastAsia="zh-CN"/>
              </w:rPr>
              <w:t>1262</w:t>
            </w:r>
            <w:r>
              <w:rPr>
                <w:rFonts w:hint="default" w:asciiTheme="minorEastAsia" w:hAnsiTheme="minorEastAsia" w:eastAsiaTheme="minorEastAsia"/>
                <w:color w:val="auto"/>
                <w:szCs w:val="21"/>
                <w:highlight w:val="none"/>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理论学时：实践学时（%）</w:t>
            </w:r>
          </w:p>
        </w:tc>
        <w:tc>
          <w:tcPr>
            <w:tcW w:w="59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60：</w:t>
            </w:r>
            <w:r>
              <w:rPr>
                <w:rFonts w:hint="eastAsia" w:asciiTheme="minorEastAsia" w:hAnsiTheme="minorEastAsia" w:eastAsiaTheme="minorEastAsia"/>
                <w:color w:val="auto"/>
                <w:kern w:val="0"/>
                <w:szCs w:val="21"/>
                <w:highlight w:val="none"/>
              </w:rPr>
              <w:t>40</w:t>
            </w:r>
          </w:p>
        </w:tc>
      </w:tr>
    </w:tbl>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r>
        <w:rPr>
          <w:rFonts w:eastAsia="黑体"/>
          <w:b/>
          <w:color w:val="auto"/>
          <w:highlight w:val="none"/>
        </w:rPr>
        <w:br w:type="page"/>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b/>
          <w:color w:val="auto"/>
          <w:highlight w:val="none"/>
        </w:rPr>
      </w:pPr>
      <w:r>
        <w:rPr>
          <w:rFonts w:hint="eastAsia" w:eastAsia="黑体"/>
          <w:b/>
          <w:color w:val="auto"/>
          <w:highlight w:val="none"/>
        </w:rPr>
        <w:t>九，教学安排一览表（1）</w:t>
      </w:r>
    </w:p>
    <w:tbl>
      <w:tblPr>
        <w:tblStyle w:val="3"/>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类</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3"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性</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25"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开</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代</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697"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391"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考</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核</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方</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540"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总</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526"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总</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69"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理</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论</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34" w:type="dxa"/>
            <w:vMerge w:val="restart"/>
            <w:tcBorders>
              <w:top w:val="single" w:color="auto" w:sz="4" w:space="0"/>
              <w:left w:val="nil"/>
              <w:right w:val="single" w:color="auto" w:sz="4" w:space="0"/>
            </w:tcBorders>
            <w:shd w:val="clear" w:color="auto" w:fill="auto"/>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实</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践</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977" w:type="dxa"/>
            <w:tcBorders>
              <w:top w:val="single" w:color="auto" w:sz="4" w:space="0"/>
              <w:left w:val="single" w:color="auto" w:sz="4" w:space="0"/>
              <w:right w:val="single" w:color="auto" w:sz="4" w:space="0"/>
            </w:tcBorders>
            <w:shd w:val="clear" w:color="auto" w:fill="auto"/>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建议</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修读</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62"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b/>
                <w:color w:val="auto"/>
                <w:sz w:val="20"/>
                <w:szCs w:val="20"/>
                <w:highlight w:val="none"/>
              </w:rPr>
            </w:pPr>
          </w:p>
        </w:tc>
        <w:tc>
          <w:tcPr>
            <w:tcW w:w="423"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b/>
                <w:color w:val="auto"/>
                <w:sz w:val="20"/>
                <w:szCs w:val="20"/>
                <w:highlight w:val="none"/>
              </w:rPr>
            </w:pPr>
          </w:p>
        </w:tc>
        <w:tc>
          <w:tcPr>
            <w:tcW w:w="425"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b/>
                <w:color w:val="auto"/>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b/>
                <w:color w:val="auto"/>
                <w:sz w:val="20"/>
                <w:szCs w:val="20"/>
                <w:highlight w:val="none"/>
              </w:rPr>
            </w:pPr>
          </w:p>
        </w:tc>
        <w:tc>
          <w:tcPr>
            <w:tcW w:w="2697"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b/>
                <w:color w:val="auto"/>
                <w:sz w:val="20"/>
                <w:szCs w:val="20"/>
                <w:highlight w:val="none"/>
              </w:rPr>
            </w:pPr>
          </w:p>
        </w:tc>
        <w:tc>
          <w:tcPr>
            <w:tcW w:w="391"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b/>
                <w:color w:val="auto"/>
                <w:sz w:val="20"/>
                <w:szCs w:val="20"/>
                <w:highlight w:val="none"/>
              </w:rPr>
            </w:pPr>
          </w:p>
        </w:tc>
        <w:tc>
          <w:tcPr>
            <w:tcW w:w="540"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b/>
                <w:color w:val="auto"/>
                <w:sz w:val="20"/>
                <w:szCs w:val="20"/>
                <w:highlight w:val="none"/>
              </w:rPr>
            </w:pPr>
          </w:p>
        </w:tc>
        <w:tc>
          <w:tcPr>
            <w:tcW w:w="526"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b/>
                <w:color w:val="auto"/>
                <w:sz w:val="20"/>
                <w:szCs w:val="20"/>
                <w:highlight w:val="none"/>
              </w:rPr>
            </w:pPr>
          </w:p>
        </w:tc>
        <w:tc>
          <w:tcPr>
            <w:tcW w:w="569"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b/>
                <w:color w:val="auto"/>
                <w:sz w:val="20"/>
                <w:szCs w:val="20"/>
                <w:highlight w:val="none"/>
              </w:rPr>
            </w:pPr>
          </w:p>
        </w:tc>
        <w:tc>
          <w:tcPr>
            <w:tcW w:w="434" w:type="dxa"/>
            <w:vMerge w:val="continue"/>
            <w:tcBorders>
              <w:left w:val="nil"/>
              <w:bottom w:val="single" w:color="auto" w:sz="4" w:space="0"/>
              <w:right w:val="single" w:color="auto" w:sz="4" w:space="0"/>
            </w:tcBorders>
            <w:shd w:val="clear" w:color="auto" w:fill="auto"/>
          </w:tcPr>
          <w:p>
            <w:pPr>
              <w:widowControl/>
              <w:adjustRightInd w:val="0"/>
              <w:snapToGrid w:val="0"/>
              <w:jc w:val="center"/>
              <w:rPr>
                <w:rFonts w:ascii="宋体" w:hAnsi="宋体"/>
                <w:b/>
                <w:color w:val="auto"/>
                <w:sz w:val="20"/>
                <w:szCs w:val="20"/>
                <w:highlight w:val="none"/>
              </w:rPr>
            </w:pPr>
          </w:p>
        </w:tc>
        <w:tc>
          <w:tcPr>
            <w:tcW w:w="977" w:type="dxa"/>
            <w:tcBorders>
              <w:left w:val="single" w:color="auto" w:sz="4" w:space="0"/>
              <w:bottom w:val="single" w:color="auto" w:sz="4" w:space="0"/>
              <w:right w:val="single" w:color="auto" w:sz="4" w:space="0"/>
            </w:tcBorders>
            <w:shd w:val="clear" w:color="auto" w:fill="auto"/>
          </w:tcPr>
          <w:p>
            <w:pPr>
              <w:widowControl/>
              <w:adjustRightInd w:val="0"/>
              <w:snapToGrid w:val="0"/>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3" w:type="dxa"/>
            <w:tcBorders>
              <w:top w:val="single" w:color="auto" w:sz="4" w:space="0"/>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Arial"/>
                <w:color w:val="auto"/>
                <w:kern w:val="0"/>
                <w:sz w:val="20"/>
                <w:szCs w:val="20"/>
                <w:highlight w:val="none"/>
              </w:rPr>
              <w:t>b1080001</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r>
              <w:rPr>
                <w:rFonts w:hint="eastAsia" w:ascii="宋体" w:hAnsi="宋体" w:cs="Arial Unicode MS"/>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tcBorders>
              <w:top w:val="single" w:color="auto" w:sz="4" w:space="0"/>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Arial"/>
                <w:color w:val="auto"/>
                <w:kern w:val="0"/>
                <w:sz w:val="20"/>
                <w:szCs w:val="20"/>
                <w:highlight w:val="none"/>
              </w:rPr>
              <w:t>b108000</w:t>
            </w:r>
            <w:r>
              <w:rPr>
                <w:rFonts w:ascii="宋体" w:hAnsi="宋体" w:cs="Arial"/>
                <w:color w:val="auto"/>
                <w:kern w:val="0"/>
                <w:sz w:val="20"/>
                <w:szCs w:val="20"/>
                <w:highlight w:val="none"/>
              </w:rPr>
              <w:t>9</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eastAsia="宋体" w:cs="Arial Unicode MS"/>
                <w:color w:val="auto"/>
                <w:kern w:val="2"/>
                <w:sz w:val="20"/>
                <w:szCs w:val="20"/>
                <w:highlight w:val="none"/>
                <w:lang w:val="en-US" w:eastAsia="zh-CN" w:bidi="ar-SA"/>
              </w:rPr>
            </w:pPr>
            <w:r>
              <w:rPr>
                <w:rFonts w:hint="eastAsia" w:ascii="宋体" w:hAnsi="宋体"/>
                <w:color w:val="auto"/>
                <w:sz w:val="20"/>
                <w:szCs w:val="20"/>
                <w:highlight w:val="none"/>
              </w:rPr>
              <w:t>思想道德与法治</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r>
              <w:rPr>
                <w:rFonts w:hint="eastAsia" w:ascii="宋体" w:hAnsi="宋体" w:cs="Arial Unicode MS"/>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Arial"/>
                <w:color w:val="auto"/>
                <w:kern w:val="0"/>
                <w:sz w:val="20"/>
                <w:szCs w:val="20"/>
                <w:highlight w:val="none"/>
              </w:rPr>
              <w:t>b1080006</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中国近现代史纲要</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r>
              <w:rPr>
                <w:rFonts w:hint="eastAsia"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r>
              <w:rPr>
                <w:rFonts w:hint="eastAsia" w:ascii="宋体" w:hAnsi="宋体" w:cs="Arial Unicode MS"/>
                <w:color w:val="auto"/>
                <w:sz w:val="20"/>
                <w:szCs w:val="20"/>
                <w:highlight w:val="none"/>
              </w:rPr>
              <w:t>秋1</w:t>
            </w:r>
          </w:p>
        </w:tc>
      </w:tr>
      <w:tr>
        <w:tblPrEx>
          <w:tblCellMar>
            <w:top w:w="0" w:type="dxa"/>
            <w:left w:w="0" w:type="dxa"/>
            <w:bottom w:w="0" w:type="dxa"/>
            <w:right w:w="0" w:type="dxa"/>
          </w:tblCellMar>
        </w:tblPrEx>
        <w:trPr>
          <w:trHeight w:val="524"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b1080010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毛泽东思想和中国特色社会主义理论体系概论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bCs/>
                <w:color w:val="auto"/>
                <w:kern w:val="2"/>
                <w:sz w:val="20"/>
                <w:szCs w:val="20"/>
                <w:highlight w:val="none"/>
                <w:lang w:val="en-US" w:eastAsia="zh-CN" w:bidi="ar-SA"/>
              </w:rPr>
            </w:pPr>
            <w:r>
              <w:rPr>
                <w:rFonts w:hint="eastAsia" w:ascii="宋体" w:hAnsi="宋体" w:cs="宋体"/>
                <w:bCs/>
                <w:color w:val="auto"/>
                <w:sz w:val="20"/>
                <w:szCs w:val="20"/>
                <w:highlight w:val="none"/>
              </w:rPr>
              <w:t>春2</w:t>
            </w:r>
          </w:p>
        </w:tc>
      </w:tr>
      <w:tr>
        <w:tblPrEx>
          <w:tblCellMar>
            <w:top w:w="0" w:type="dxa"/>
            <w:left w:w="0" w:type="dxa"/>
            <w:bottom w:w="0" w:type="dxa"/>
            <w:right w:w="0" w:type="dxa"/>
          </w:tblCellMar>
        </w:tblPrEx>
        <w:trPr>
          <w:trHeight w:val="478" w:hRule="atLeas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b1080011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习近平新时代中国特色社会主义思想概论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s="Times New Roman"/>
                <w:color w:val="auto"/>
                <w:kern w:val="2"/>
                <w:sz w:val="20"/>
                <w:szCs w:val="20"/>
                <w:highlight w:val="none"/>
                <w:lang w:val="en-US" w:eastAsia="zh-CN" w:bidi="ar-SA"/>
              </w:rPr>
            </w:pPr>
            <w:r>
              <w:rPr>
                <w:rFonts w:hint="eastAsia" w:ascii="宋体" w:hAnsi="宋体" w:cs="Times New Roman"/>
                <w:color w:val="auto"/>
                <w:kern w:val="2"/>
                <w:sz w:val="20"/>
                <w:szCs w:val="20"/>
                <w:highlight w:val="none"/>
                <w:lang w:val="en-US" w:eastAsia="zh-CN" w:bidi="ar-SA"/>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bCs/>
                <w:color w:val="auto"/>
                <w:kern w:val="2"/>
                <w:sz w:val="20"/>
                <w:szCs w:val="20"/>
                <w:highlight w:val="none"/>
                <w:lang w:val="en-US" w:eastAsia="zh-CN" w:bidi="ar-SA"/>
              </w:rPr>
            </w:pPr>
            <w:r>
              <w:rPr>
                <w:rFonts w:hint="eastAsia" w:ascii="宋体" w:hAnsi="宋体" w:cs="宋体"/>
                <w:bCs/>
                <w:color w:val="auto"/>
                <w:sz w:val="20"/>
                <w:szCs w:val="20"/>
                <w:highlight w:val="none"/>
              </w:rPr>
              <w:t>秋2</w:t>
            </w:r>
          </w:p>
        </w:tc>
      </w:tr>
      <w:tr>
        <w:tblPrEx>
          <w:tblCellMar>
            <w:top w:w="0" w:type="dxa"/>
            <w:left w:w="0" w:type="dxa"/>
            <w:bottom w:w="0" w:type="dxa"/>
            <w:right w:w="0" w:type="dxa"/>
          </w:tblCellMar>
        </w:tblPrEx>
        <w:trPr>
          <w:trHeight w:val="302" w:hRule="atLeas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形势与政策(模块1～4)</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秋1～春2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b1080008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劳动教育A</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16</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b1020080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高等数学A1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b102008</w:t>
            </w:r>
            <w:r>
              <w:rPr>
                <w:rFonts w:hint="eastAsia" w:ascii="宋体" w:hAnsi="宋体"/>
                <w:color w:val="auto"/>
                <w:sz w:val="20"/>
                <w:szCs w:val="20"/>
                <w:highlight w:val="none"/>
              </w:rPr>
              <w:t>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高等数学A2</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w:color w:val="auto"/>
                <w:kern w:val="2"/>
                <w:sz w:val="20"/>
                <w:szCs w:val="20"/>
                <w:highlight w:val="none"/>
                <w:lang w:val="en-US" w:eastAsia="zh-CN" w:bidi="ar-SA"/>
              </w:rPr>
            </w:pPr>
            <w:r>
              <w:rPr>
                <w:rFonts w:hint="eastAsia" w:ascii="宋体" w:hAnsi="宋体" w:cs="Arial"/>
                <w:color w:val="auto"/>
                <w:sz w:val="20"/>
                <w:szCs w:val="20"/>
                <w:highlight w:val="none"/>
              </w:rPr>
              <w:t>b1020012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Arial"/>
                <w:color w:val="auto"/>
                <w:kern w:val="2"/>
                <w:sz w:val="20"/>
                <w:szCs w:val="20"/>
                <w:highlight w:val="none"/>
                <w:lang w:val="en-US" w:eastAsia="zh-CN" w:bidi="ar-SA"/>
              </w:rPr>
            </w:pPr>
            <w:r>
              <w:rPr>
                <w:rFonts w:hint="eastAsia" w:ascii="宋体" w:hAnsi="宋体" w:cs="Arial"/>
                <w:color w:val="auto"/>
                <w:sz w:val="20"/>
                <w:szCs w:val="20"/>
                <w:highlight w:val="none"/>
              </w:rPr>
              <w:t>线性代数</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w:color w:val="auto"/>
                <w:kern w:val="2"/>
                <w:sz w:val="20"/>
                <w:szCs w:val="20"/>
                <w:highlight w:val="none"/>
                <w:lang w:val="en-US" w:eastAsia="zh-CN" w:bidi="ar-SA"/>
              </w:rPr>
            </w:pPr>
            <w:r>
              <w:rPr>
                <w:rFonts w:hint="eastAsia" w:ascii="宋体" w:hAnsi="宋体" w:cs="Arial"/>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 w:val="20"/>
                <w:szCs w:val="20"/>
                <w:highlight w:val="none"/>
                <w:lang w:val="en-US" w:eastAsia="zh-CN" w:bidi="ar-SA"/>
              </w:rPr>
            </w:pPr>
            <w:r>
              <w:rPr>
                <w:rFonts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 w:val="20"/>
                <w:szCs w:val="20"/>
                <w:highlight w:val="none"/>
                <w:lang w:val="en-US" w:eastAsia="zh-CN" w:bidi="ar-SA"/>
              </w:rPr>
            </w:pPr>
            <w:r>
              <w:rPr>
                <w:rFonts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 w:val="20"/>
                <w:szCs w:val="20"/>
                <w:highlight w:val="none"/>
                <w:lang w:val="en-US" w:eastAsia="zh-CN" w:bidi="ar-SA"/>
              </w:rPr>
            </w:pPr>
            <w:r>
              <w:rPr>
                <w:rFonts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7"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w:color w:val="auto"/>
                <w:kern w:val="2"/>
                <w:sz w:val="20"/>
                <w:szCs w:val="20"/>
                <w:highlight w:val="none"/>
                <w:lang w:val="en-US" w:eastAsia="zh-CN" w:bidi="ar-SA"/>
              </w:rPr>
            </w:pPr>
            <w:r>
              <w:rPr>
                <w:rFonts w:hint="eastAsia" w:ascii="宋体" w:hAnsi="宋体" w:cs="Arial"/>
                <w:color w:val="auto"/>
                <w:sz w:val="20"/>
                <w:szCs w:val="20"/>
                <w:highlight w:val="none"/>
              </w:rPr>
              <w:t>b1020</w:t>
            </w:r>
            <w:r>
              <w:rPr>
                <w:rFonts w:ascii="宋体" w:hAnsi="宋体" w:cs="Arial"/>
                <w:color w:val="auto"/>
                <w:sz w:val="20"/>
                <w:szCs w:val="20"/>
                <w:highlight w:val="none"/>
              </w:rPr>
              <w:t>114</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Arial"/>
                <w:color w:val="auto"/>
                <w:kern w:val="2"/>
                <w:sz w:val="20"/>
                <w:szCs w:val="20"/>
                <w:highlight w:val="none"/>
                <w:lang w:val="en-US" w:eastAsia="zh-CN" w:bidi="ar-SA"/>
              </w:rPr>
            </w:pPr>
            <w:r>
              <w:rPr>
                <w:rFonts w:hint="eastAsia" w:ascii="宋体" w:hAnsi="宋体" w:cs="Arial"/>
                <w:color w:val="auto"/>
                <w:sz w:val="20"/>
                <w:szCs w:val="20"/>
                <w:highlight w:val="none"/>
              </w:rPr>
              <w:t>概率论与数理统计</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w:color w:val="auto"/>
                <w:kern w:val="2"/>
                <w:sz w:val="20"/>
                <w:szCs w:val="20"/>
                <w:highlight w:val="none"/>
                <w:lang w:val="en-US" w:eastAsia="zh-CN" w:bidi="ar-SA"/>
              </w:rPr>
            </w:pPr>
            <w:r>
              <w:rPr>
                <w:rFonts w:hint="eastAsia" w:ascii="宋体" w:hAnsi="宋体" w:cs="Arial"/>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 w:val="20"/>
                <w:szCs w:val="20"/>
                <w:highlight w:val="none"/>
                <w:lang w:val="en-US" w:eastAsia="zh-CN" w:bidi="ar-SA"/>
              </w:rPr>
            </w:pPr>
            <w:r>
              <w:rPr>
                <w:rFonts w:ascii="宋体" w:hAnsi="宋体" w:cs="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 w:val="20"/>
                <w:szCs w:val="20"/>
                <w:highlight w:val="none"/>
                <w:lang w:val="en-US" w:eastAsia="zh-CN" w:bidi="ar-SA"/>
              </w:rPr>
            </w:pPr>
            <w:r>
              <w:rPr>
                <w:rFonts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 w:val="20"/>
                <w:szCs w:val="20"/>
                <w:highlight w:val="none"/>
                <w:lang w:val="en-US" w:eastAsia="zh-CN" w:bidi="ar-SA"/>
              </w:rPr>
            </w:pPr>
            <w:r>
              <w:rPr>
                <w:rFonts w:ascii="宋体" w:hAnsi="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2"/>
                <w:sz w:val="20"/>
                <w:szCs w:val="20"/>
                <w:highlight w:val="none"/>
                <w:lang w:val="en-US" w:eastAsia="zh-CN" w:bidi="ar-SA"/>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2"/>
                <w:sz w:val="20"/>
                <w:szCs w:val="20"/>
                <w:highlight w:val="none"/>
                <w:lang w:val="en-US" w:eastAsia="zh-CN" w:bidi="ar-SA"/>
              </w:rPr>
            </w:pPr>
            <w:r>
              <w:rPr>
                <w:rFonts w:ascii="宋体" w:hAnsi="宋体" w:cs="宋体"/>
                <w:color w:val="auto"/>
                <w:sz w:val="20"/>
                <w:szCs w:val="20"/>
                <w:highlight w:val="none"/>
              </w:rPr>
              <w:t>b1020</w:t>
            </w:r>
            <w:r>
              <w:rPr>
                <w:rFonts w:hint="eastAsia" w:ascii="宋体" w:hAnsi="宋体" w:cs="宋体"/>
                <w:color w:val="auto"/>
                <w:sz w:val="20"/>
                <w:szCs w:val="20"/>
                <w:highlight w:val="none"/>
                <w:lang w:val="en-US" w:eastAsia="zh-CN"/>
              </w:rPr>
              <w:t>100</w:t>
            </w:r>
            <w:r>
              <w:rPr>
                <w:rFonts w:hint="eastAsia" w:ascii="宋体" w:hAnsi="宋体" w:cs="宋体"/>
                <w:color w:val="auto"/>
                <w:sz w:val="20"/>
                <w:szCs w:val="20"/>
                <w:highlight w:val="none"/>
              </w:rPr>
              <w:t>　</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复变函数与</w:t>
            </w:r>
            <w:r>
              <w:rPr>
                <w:rFonts w:ascii="宋体" w:hAnsi="宋体" w:cs="宋体"/>
                <w:color w:val="auto"/>
                <w:sz w:val="20"/>
                <w:szCs w:val="20"/>
                <w:highlight w:val="none"/>
              </w:rPr>
              <w:t>积分</w:t>
            </w:r>
            <w:r>
              <w:rPr>
                <w:rFonts w:hint="eastAsia" w:ascii="宋体" w:hAnsi="宋体" w:cs="宋体"/>
                <w:color w:val="auto"/>
                <w:sz w:val="20"/>
                <w:szCs w:val="20"/>
                <w:highlight w:val="none"/>
              </w:rPr>
              <w:t>变换</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2"/>
                <w:sz w:val="20"/>
                <w:szCs w:val="20"/>
                <w:highlight w:val="none"/>
                <w:lang w:val="en-US" w:eastAsia="zh-CN" w:bidi="ar-SA"/>
              </w:rPr>
            </w:pPr>
            <w:r>
              <w:rPr>
                <w:rFonts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2"/>
                <w:sz w:val="20"/>
                <w:szCs w:val="20"/>
                <w:highlight w:val="none"/>
                <w:lang w:val="en-US" w:eastAsia="zh-CN" w:bidi="ar-SA"/>
              </w:rPr>
            </w:pPr>
            <w:r>
              <w:rPr>
                <w:rFonts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2"/>
                <w:sz w:val="20"/>
                <w:szCs w:val="20"/>
                <w:highlight w:val="none"/>
                <w:lang w:val="en-US" w:eastAsia="zh-CN" w:bidi="ar-SA"/>
              </w:rPr>
            </w:pPr>
            <w:r>
              <w:rPr>
                <w:rFonts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textDirection w:val="tbRlV"/>
            <w:vAlign w:val="center"/>
          </w:tcPr>
          <w:p>
            <w:pPr>
              <w:adjustRightInd w:val="0"/>
              <w:snapToGrid w:val="0"/>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　</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b1020076</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计算方法</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3</w:t>
            </w:r>
            <w:r>
              <w:rPr>
                <w:rFonts w:ascii="宋体" w:hAnsi="宋体" w:cs="宋体"/>
                <w:color w:val="auto"/>
                <w:sz w:val="20"/>
                <w:szCs w:val="20"/>
                <w:highlight w:val="none"/>
              </w:rPr>
              <w:t>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3</w:t>
            </w:r>
            <w:r>
              <w:rPr>
                <w:rFonts w:ascii="宋体" w:hAnsi="宋体" w:cs="宋体"/>
                <w:color w:val="auto"/>
                <w:sz w:val="20"/>
                <w:szCs w:val="20"/>
                <w:highlight w:val="none"/>
              </w:rPr>
              <w:t>2</w:t>
            </w:r>
          </w:p>
        </w:tc>
        <w:tc>
          <w:tcPr>
            <w:tcW w:w="434" w:type="dxa"/>
            <w:tcBorders>
              <w:top w:val="single" w:color="auto" w:sz="4" w:space="0"/>
              <w:left w:val="nil"/>
              <w:bottom w:val="single" w:color="auto" w:sz="4" w:space="0"/>
              <w:right w:val="single" w:color="auto" w:sz="4" w:space="0"/>
            </w:tcBorders>
            <w:shd w:val="clear" w:color="auto" w:fill="auto"/>
            <w:textDirection w:val="tbRlV"/>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春</w:t>
            </w:r>
            <w:r>
              <w:rPr>
                <w:rFonts w:ascii="宋体" w:hAnsi="宋体" w:cs="宋体"/>
                <w:color w:val="auto"/>
                <w:sz w:val="20"/>
                <w:szCs w:val="20"/>
                <w:highlight w:val="none"/>
              </w:rPr>
              <w:t>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b1020018</w:t>
            </w:r>
          </w:p>
        </w:tc>
        <w:tc>
          <w:tcPr>
            <w:tcW w:w="269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Times New Roman"/>
                <w:color w:val="auto"/>
                <w:kern w:val="2"/>
                <w:sz w:val="20"/>
                <w:szCs w:val="20"/>
                <w:highlight w:val="none"/>
                <w:lang w:val="en-US" w:eastAsia="zh-CN" w:bidi="ar-SA"/>
              </w:rPr>
            </w:pPr>
            <w:r>
              <w:rPr>
                <w:rFonts w:hint="eastAsia" w:ascii="宋体" w:hAnsi="宋体" w:cs="宋体"/>
                <w:color w:val="auto"/>
                <w:kern w:val="0"/>
                <w:sz w:val="20"/>
                <w:szCs w:val="20"/>
                <w:highlight w:val="none"/>
              </w:rPr>
              <w:t>大学语文</w:t>
            </w:r>
            <w:r>
              <w:rPr>
                <w:rFonts w:ascii="宋体" w:hAnsi="宋体"/>
                <w:color w:val="auto"/>
                <w:sz w:val="20"/>
                <w:szCs w:val="20"/>
                <w:highlight w:val="none"/>
              </w:rPr>
              <w:t xml:space="preserve">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Arial Unicode MS"/>
                <w:color w:val="auto"/>
                <w:kern w:val="2"/>
                <w:sz w:val="20"/>
                <w:szCs w:val="20"/>
                <w:highlight w:val="none"/>
                <w:lang w:val="en-US" w:eastAsia="zh-CN" w:bidi="ar-SA"/>
              </w:rPr>
            </w:pPr>
            <w:r>
              <w:rPr>
                <w:rFonts w:hint="eastAsia" w:ascii="宋体" w:hAnsi="宋体" w:cs="Arial Unicode MS"/>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b102006</w:t>
            </w:r>
            <w:r>
              <w:rPr>
                <w:rFonts w:hint="eastAsia" w:ascii="宋体" w:hAnsi="宋体"/>
                <w:color w:val="auto"/>
                <w:sz w:val="20"/>
                <w:szCs w:val="20"/>
                <w:highlight w:val="none"/>
              </w:rPr>
              <w:t>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大学物理A(模块</w:t>
            </w:r>
            <w:r>
              <w:rPr>
                <w:rFonts w:hint="eastAsia" w:ascii="宋体" w:hAnsi="宋体"/>
                <w:color w:val="auto"/>
                <w:sz w:val="20"/>
                <w:szCs w:val="20"/>
                <w:highlight w:val="none"/>
              </w:rPr>
              <w:t>1</w:t>
            </w:r>
            <w:r>
              <w:rPr>
                <w:rFonts w:ascii="宋体" w:hAnsi="宋体"/>
                <w:color w:val="auto"/>
                <w:sz w:val="20"/>
                <w:szCs w:val="20"/>
                <w:highlight w:val="none"/>
              </w:rPr>
              <w:t>)</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color w:val="auto"/>
                <w:kern w:val="0"/>
                <w:sz w:val="20"/>
                <w:szCs w:val="20"/>
                <w:highlight w:val="none"/>
                <w:lang w:val="en-US" w:eastAsia="zh-CN" w:bidi="ar-SA"/>
              </w:rPr>
            </w:pPr>
            <w:r>
              <w:rPr>
                <w:rFonts w:ascii="宋体" w:hAnsi="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color w:val="auto"/>
                <w:kern w:val="0"/>
                <w:sz w:val="20"/>
                <w:szCs w:val="20"/>
                <w:highlight w:val="none"/>
                <w:lang w:val="en-US" w:eastAsia="zh-CN" w:bidi="ar-SA"/>
              </w:rPr>
            </w:pPr>
            <w:r>
              <w:rPr>
                <w:rFonts w:ascii="宋体" w:hAnsi="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color w:val="auto"/>
                <w:kern w:val="0"/>
                <w:sz w:val="20"/>
                <w:szCs w:val="20"/>
                <w:highlight w:val="none"/>
                <w:lang w:val="en-US" w:eastAsia="zh-CN" w:bidi="ar-SA"/>
              </w:rPr>
            </w:pPr>
            <w:r>
              <w:rPr>
                <w:rFonts w:ascii="宋体" w:hAnsi="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b1020065</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大学物理B</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color w:val="auto"/>
                <w:kern w:val="0"/>
                <w:sz w:val="20"/>
                <w:szCs w:val="20"/>
                <w:highlight w:val="none"/>
                <w:lang w:val="en-US" w:eastAsia="zh-CN" w:bidi="ar-SA"/>
              </w:rPr>
            </w:pPr>
            <w:r>
              <w:rPr>
                <w:rFonts w:ascii="宋体" w:hAnsi="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color w:val="auto"/>
                <w:kern w:val="0"/>
                <w:sz w:val="20"/>
                <w:szCs w:val="20"/>
                <w:highlight w:val="none"/>
                <w:lang w:val="en-US" w:eastAsia="zh-CN" w:bidi="ar-SA"/>
              </w:rPr>
            </w:pPr>
            <w:r>
              <w:rPr>
                <w:rFonts w:ascii="宋体" w:hAnsi="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color w:val="auto"/>
                <w:kern w:val="0"/>
                <w:sz w:val="20"/>
                <w:szCs w:val="20"/>
                <w:highlight w:val="none"/>
                <w:lang w:val="en-US" w:eastAsia="zh-CN" w:bidi="ar-SA"/>
              </w:rPr>
            </w:pPr>
            <w:r>
              <w:rPr>
                <w:rFonts w:ascii="宋体" w:hAnsi="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公</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b1020111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 xml:space="preserve">大学物理C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color w:val="auto"/>
                <w:kern w:val="0"/>
                <w:sz w:val="20"/>
                <w:szCs w:val="20"/>
                <w:highlight w:val="none"/>
                <w:lang w:val="en-US" w:eastAsia="zh-CN" w:bidi="ar-SA"/>
              </w:rPr>
            </w:pPr>
            <w:r>
              <w:rPr>
                <w:rFonts w:ascii="宋体" w:hAnsi="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Times New Roman"/>
                <w:color w:val="auto"/>
                <w:kern w:val="0"/>
                <w:sz w:val="20"/>
                <w:szCs w:val="20"/>
                <w:highlight w:val="none"/>
                <w:lang w:val="en-US" w:eastAsia="zh-CN" w:bidi="ar-SA"/>
              </w:rPr>
            </w:pPr>
            <w:r>
              <w:rPr>
                <w:rFonts w:ascii="宋体" w:hAnsi="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共</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体育</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体育I～VI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160</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秋1～秋4</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基</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b1110003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军事技能</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2W</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础</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b1110002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 xml:space="preserve">军事理论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6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b1110004</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大学生</w:t>
            </w:r>
            <w:r>
              <w:rPr>
                <w:rFonts w:ascii="宋体" w:hAnsi="宋体"/>
                <w:color w:val="auto"/>
                <w:sz w:val="20"/>
                <w:szCs w:val="20"/>
                <w:highlight w:val="none"/>
              </w:rPr>
              <w:t>心理健康教育</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1</w:t>
            </w:r>
            <w:r>
              <w:rPr>
                <w:rFonts w:ascii="宋体" w:hAnsi="宋体"/>
                <w:color w:val="auto"/>
                <w:sz w:val="20"/>
                <w:szCs w:val="20"/>
                <w:highlight w:val="none"/>
              </w:rPr>
              <w:t>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1</w:t>
            </w:r>
            <w:r>
              <w:rPr>
                <w:rFonts w:ascii="宋体" w:hAnsi="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大学</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b1020004</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英语</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A</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b1020005</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选修</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b1020002</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1个</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模块</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b1020006</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通用学术英语B</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10</w:t>
            </w:r>
          </w:p>
        </w:tc>
        <w:tc>
          <w:tcPr>
            <w:tcW w:w="425"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学分</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b1020001</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b1020002</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425"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C</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b1020040</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大学德语I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大学</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b1020041</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大学德语II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德语</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b1020042</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大学德语III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b1020077</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大学日语I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大学</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b1020078</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大学日语II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日语</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b1020079</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大学日语III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74"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1024" w:type="dxa"/>
            <w:tcBorders>
              <w:top w:val="single" w:color="auto" w:sz="4" w:space="0"/>
              <w:bottom w:val="single" w:color="auto" w:sz="4" w:space="0"/>
            </w:tcBorders>
            <w:shd w:val="clear" w:color="auto" w:fill="D8D8D8" w:themeFill="background1" w:themeFillShade="D9"/>
            <w:vAlign w:val="center"/>
          </w:tcPr>
          <w:p>
            <w:pPr>
              <w:adjustRightInd w:val="0"/>
              <w:snapToGrid w:val="0"/>
              <w:jc w:val="right"/>
              <w:rPr>
                <w:rFonts w:ascii="宋体" w:hAnsi="宋体"/>
                <w:b/>
                <w:color w:val="auto"/>
                <w:sz w:val="20"/>
                <w:szCs w:val="20"/>
                <w:highlight w:val="none"/>
              </w:rPr>
            </w:pPr>
            <w:r>
              <w:rPr>
                <w:rFonts w:hint="eastAsia" w:ascii="宋体" w:hAnsi="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rPr>
                <w:rFonts w:ascii="宋体" w:hAnsi="宋体"/>
                <w:b/>
                <w:color w:val="auto"/>
                <w:sz w:val="20"/>
                <w:szCs w:val="20"/>
                <w:highlight w:val="none"/>
              </w:rPr>
            </w:pPr>
            <w:r>
              <w:rPr>
                <w:rFonts w:hint="eastAsia" w:ascii="宋体" w:hAnsi="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eastAsia="宋体" w:cs="Times New Roman"/>
                <w:b/>
                <w:color w:val="auto"/>
                <w:kern w:val="2"/>
                <w:sz w:val="20"/>
                <w:szCs w:val="20"/>
                <w:highlight w:val="none"/>
                <w:lang w:val="en-US" w:eastAsia="zh-CN" w:bidi="ar-SA"/>
              </w:rPr>
            </w:pPr>
            <w:r>
              <w:rPr>
                <w:rFonts w:ascii="宋体" w:hAnsi="宋体"/>
                <w:b/>
                <w:color w:val="auto"/>
                <w:sz w:val="20"/>
                <w:szCs w:val="20"/>
                <w:highlight w:val="none"/>
              </w:rPr>
              <w:t>60</w:t>
            </w:r>
            <w:r>
              <w:rPr>
                <w:rFonts w:hint="eastAsia" w:ascii="宋体" w:hAnsi="宋体"/>
                <w:b/>
                <w:color w:val="auto"/>
                <w:sz w:val="20"/>
                <w:szCs w:val="20"/>
                <w:highlight w:val="none"/>
              </w:rPr>
              <w:t>.5</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eastAsia="宋体" w:cs="Times New Roman"/>
                <w:b/>
                <w:color w:val="auto"/>
                <w:kern w:val="2"/>
                <w:sz w:val="20"/>
                <w:szCs w:val="20"/>
                <w:highlight w:val="none"/>
                <w:lang w:val="en-US" w:eastAsia="zh-CN" w:bidi="ar-SA"/>
              </w:rPr>
            </w:pPr>
            <w:r>
              <w:rPr>
                <w:rFonts w:ascii="宋体" w:hAnsi="宋体"/>
                <w:b/>
                <w:color w:val="auto"/>
                <w:sz w:val="20"/>
                <w:szCs w:val="20"/>
                <w:highlight w:val="none"/>
              </w:rPr>
              <w:t>1104</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eastAsia="宋体" w:cs="Times New Roman"/>
                <w:b/>
                <w:color w:val="auto"/>
                <w:kern w:val="2"/>
                <w:sz w:val="20"/>
                <w:szCs w:val="20"/>
                <w:highlight w:val="none"/>
                <w:lang w:val="en-US" w:eastAsia="zh-CN" w:bidi="ar-SA"/>
              </w:rPr>
            </w:pPr>
            <w:r>
              <w:rPr>
                <w:rFonts w:ascii="宋体" w:hAnsi="宋体"/>
                <w:b/>
                <w:color w:val="auto"/>
                <w:sz w:val="20"/>
                <w:szCs w:val="20"/>
                <w:highlight w:val="none"/>
              </w:rPr>
              <w:t>1022</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eastAsia="宋体" w:cs="Times New Roman"/>
                <w:b/>
                <w:color w:val="auto"/>
                <w:kern w:val="2"/>
                <w:sz w:val="20"/>
                <w:szCs w:val="20"/>
                <w:highlight w:val="none"/>
                <w:lang w:val="en-US" w:eastAsia="zh-CN" w:bidi="ar-SA"/>
              </w:rPr>
            </w:pPr>
            <w:r>
              <w:rPr>
                <w:rFonts w:ascii="宋体" w:hAnsi="宋体"/>
                <w:b/>
                <w:color w:val="auto"/>
                <w:sz w:val="20"/>
                <w:szCs w:val="20"/>
                <w:highlight w:val="none"/>
              </w:rPr>
              <w:t>82</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387"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通</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识课</w:t>
            </w: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16"/>
                <w:szCs w:val="16"/>
                <w:highlight w:val="none"/>
              </w:rPr>
            </w:pPr>
            <w:r>
              <w:rPr>
                <w:rFonts w:hint="eastAsia" w:ascii="宋体" w:hAnsi="宋体"/>
                <w:color w:val="auto"/>
                <w:sz w:val="16"/>
                <w:szCs w:val="16"/>
                <w:highlight w:val="none"/>
              </w:rPr>
              <w:t>艺术中心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s="Arial"/>
                <w:color w:val="auto"/>
                <w:kern w:val="0"/>
                <w:sz w:val="20"/>
                <w:szCs w:val="20"/>
                <w:highlight w:val="none"/>
                <w:shd w:val="clear" w:color="auto" w:fill="FFFFFF"/>
              </w:rPr>
            </w:pPr>
            <w:r>
              <w:rPr>
                <w:rFonts w:ascii="宋体" w:hAnsi="宋体"/>
                <w:color w:val="auto"/>
                <w:sz w:val="20"/>
                <w:szCs w:val="20"/>
                <w:highlight w:val="none"/>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秋，春</w:t>
            </w:r>
          </w:p>
        </w:tc>
      </w:tr>
      <w:tr>
        <w:tblPrEx>
          <w:tblCellMar>
            <w:top w:w="0" w:type="dxa"/>
            <w:left w:w="0" w:type="dxa"/>
            <w:bottom w:w="0" w:type="dxa"/>
            <w:right w:w="0" w:type="dxa"/>
          </w:tblCellMar>
        </w:tblPrEx>
        <w:trPr>
          <w:trHeight w:val="289"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42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各</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学院</w:t>
            </w:r>
          </w:p>
        </w:tc>
        <w:tc>
          <w:tcPr>
            <w:tcW w:w="102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s="Arial"/>
                <w:color w:val="auto"/>
                <w:kern w:val="0"/>
                <w:sz w:val="20"/>
                <w:szCs w:val="20"/>
                <w:highlight w:val="none"/>
                <w:shd w:val="clear" w:color="auto" w:fill="FFFFFF"/>
              </w:rPr>
            </w:pPr>
            <w:r>
              <w:rPr>
                <w:rFonts w:ascii="宋体" w:hAnsi="宋体"/>
                <w:color w:val="auto"/>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秋，春</w:t>
            </w:r>
          </w:p>
        </w:tc>
      </w:tr>
      <w:tr>
        <w:tblPrEx>
          <w:tblCellMar>
            <w:top w:w="0" w:type="dxa"/>
            <w:left w:w="0" w:type="dxa"/>
            <w:bottom w:w="0" w:type="dxa"/>
            <w:right w:w="0" w:type="dxa"/>
          </w:tblCellMar>
        </w:tblPrEx>
        <w:trPr>
          <w:trHeight w:val="279" w:hRule="exact"/>
          <w:jc w:val="center"/>
        </w:trPr>
        <w:tc>
          <w:tcPr>
            <w:tcW w:w="303"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102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auto"/>
                <w:kern w:val="0"/>
                <w:sz w:val="20"/>
                <w:szCs w:val="20"/>
                <w:highlight w:val="none"/>
              </w:rPr>
            </w:pPr>
            <w:r>
              <w:rPr>
                <w:rFonts w:ascii="宋体" w:hAnsi="宋体"/>
                <w:color w:val="auto"/>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秋，春</w:t>
            </w:r>
          </w:p>
        </w:tc>
      </w:tr>
      <w:tr>
        <w:tblPrEx>
          <w:tblCellMar>
            <w:top w:w="0" w:type="dxa"/>
            <w:left w:w="0" w:type="dxa"/>
            <w:bottom w:w="0" w:type="dxa"/>
            <w:right w:w="0" w:type="dxa"/>
          </w:tblCellMar>
        </w:tblPrEx>
        <w:trPr>
          <w:trHeight w:val="295"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1024"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rPr>
                <w:rFonts w:ascii="宋体" w:hAnsi="宋体" w:cs="Arial"/>
                <w:b/>
                <w:color w:val="auto"/>
                <w:kern w:val="0"/>
                <w:sz w:val="20"/>
                <w:szCs w:val="20"/>
                <w:highlight w:val="none"/>
              </w:rPr>
            </w:pPr>
            <w:r>
              <w:rPr>
                <w:rFonts w:hint="eastAsia" w:ascii="宋体" w:hAnsi="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r>
    </w:tbl>
    <w:p>
      <w:pPr>
        <w:adjustRightInd w:val="0"/>
        <w:snapToGrid w:val="0"/>
        <w:spacing w:line="360" w:lineRule="auto"/>
        <w:rPr>
          <w:rFonts w:hint="eastAsia" w:ascii="黑体" w:hAnsi="宋体" w:eastAsia="黑体"/>
          <w:color w:val="auto"/>
          <w:szCs w:val="21"/>
          <w:highlight w:val="none"/>
        </w:rPr>
      </w:pPr>
      <w:r>
        <w:rPr>
          <w:rFonts w:hint="eastAsia" w:ascii="黑体" w:hAnsi="宋体" w:eastAsia="黑体"/>
          <w:color w:val="auto"/>
          <w:szCs w:val="21"/>
          <w:highlight w:val="none"/>
        </w:rPr>
        <w:t>★注：第一外语共计10学分，包括大学英语、大学德语、大学日语3个语种，按需选择适合的语种；其中选择大学英语的，在模块ABC中选择适合的模块。</w:t>
      </w:r>
    </w:p>
    <w:p>
      <w:pPr>
        <w:adjustRightInd w:val="0"/>
        <w:snapToGrid w:val="0"/>
        <w:spacing w:line="360" w:lineRule="auto"/>
        <w:rPr>
          <w:rFonts w:ascii="黑体" w:eastAsia="黑体"/>
          <w:b/>
          <w:color w:val="auto"/>
          <w:szCs w:val="21"/>
          <w:highlight w:val="none"/>
        </w:rPr>
      </w:pPr>
      <w:r>
        <w:rPr>
          <w:rFonts w:hint="eastAsia" w:ascii="黑体" w:eastAsia="黑体"/>
          <w:b/>
          <w:color w:val="auto"/>
          <w:szCs w:val="21"/>
          <w:highlight w:val="none"/>
        </w:rPr>
        <w:t>九，教学安排一览表（2）</w:t>
      </w:r>
    </w:p>
    <w:tbl>
      <w:tblPr>
        <w:tblStyle w:val="3"/>
        <w:tblW w:w="7955" w:type="dxa"/>
        <w:jc w:val="center"/>
        <w:tblLayout w:type="fixed"/>
        <w:tblCellMar>
          <w:top w:w="0" w:type="dxa"/>
          <w:left w:w="0" w:type="dxa"/>
          <w:bottom w:w="0" w:type="dxa"/>
          <w:right w:w="0" w:type="dxa"/>
        </w:tblCellMar>
      </w:tblPr>
      <w:tblGrid>
        <w:gridCol w:w="301"/>
        <w:gridCol w:w="425"/>
        <w:gridCol w:w="425"/>
        <w:gridCol w:w="938"/>
        <w:gridCol w:w="2901"/>
        <w:gridCol w:w="366"/>
        <w:gridCol w:w="504"/>
        <w:gridCol w:w="514"/>
        <w:gridCol w:w="567"/>
        <w:gridCol w:w="348"/>
        <w:gridCol w:w="666"/>
      </w:tblGrid>
      <w:tr>
        <w:tblPrEx>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开</w:t>
            </w:r>
          </w:p>
        </w:tc>
        <w:tc>
          <w:tcPr>
            <w:tcW w:w="938" w:type="dxa"/>
            <w:tcBorders>
              <w:top w:val="single" w:color="auto" w:sz="4" w:space="0"/>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2901" w:type="dxa"/>
            <w:vMerge w:val="restart"/>
            <w:tcBorders>
              <w:top w:val="single" w:color="auto" w:sz="4" w:space="0"/>
              <w:left w:val="nil"/>
              <w:right w:val="single" w:color="auto" w:sz="4" w:space="0"/>
            </w:tcBorders>
            <w:shd w:val="clear" w:color="auto" w:fill="auto"/>
            <w:vAlign w:val="center"/>
          </w:tcPr>
          <w:p>
            <w:pPr>
              <w:adjustRightInd w:val="0"/>
              <w:snapToGrid w:val="0"/>
              <w:ind w:left="-1"/>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366"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考</w:t>
            </w:r>
          </w:p>
        </w:tc>
        <w:tc>
          <w:tcPr>
            <w:tcW w:w="504"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514"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567"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理</w:t>
            </w:r>
          </w:p>
        </w:tc>
        <w:tc>
          <w:tcPr>
            <w:tcW w:w="348"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实</w:t>
            </w:r>
          </w:p>
        </w:tc>
        <w:tc>
          <w:tcPr>
            <w:tcW w:w="666"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938" w:type="dxa"/>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2901" w:type="dxa"/>
            <w:vMerge w:val="continue"/>
            <w:tcBorders>
              <w:left w:val="nil"/>
              <w:right w:val="single" w:color="auto" w:sz="4" w:space="0"/>
            </w:tcBorders>
            <w:shd w:val="clear" w:color="auto" w:fill="auto"/>
            <w:vAlign w:val="center"/>
          </w:tcPr>
          <w:p>
            <w:pPr>
              <w:adjustRightInd w:val="0"/>
              <w:snapToGrid w:val="0"/>
              <w:ind w:left="-1"/>
              <w:jc w:val="left"/>
              <w:rPr>
                <w:rFonts w:ascii="宋体" w:hAnsi="宋体"/>
                <w:color w:val="auto"/>
                <w:sz w:val="20"/>
                <w:szCs w:val="20"/>
                <w:highlight w:val="none"/>
              </w:rPr>
            </w:pPr>
          </w:p>
        </w:tc>
        <w:tc>
          <w:tcPr>
            <w:tcW w:w="366"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核</w:t>
            </w:r>
          </w:p>
        </w:tc>
        <w:tc>
          <w:tcPr>
            <w:tcW w:w="504"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14"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67"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论</w:t>
            </w:r>
          </w:p>
        </w:tc>
        <w:tc>
          <w:tcPr>
            <w:tcW w:w="348"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666"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类</w:t>
            </w:r>
          </w:p>
        </w:tc>
        <w:tc>
          <w:tcPr>
            <w:tcW w:w="425"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性</w:t>
            </w:r>
          </w:p>
        </w:tc>
        <w:tc>
          <w:tcPr>
            <w:tcW w:w="425"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938" w:type="dxa"/>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代</w:t>
            </w:r>
          </w:p>
        </w:tc>
        <w:tc>
          <w:tcPr>
            <w:tcW w:w="2901" w:type="dxa"/>
            <w:vMerge w:val="continue"/>
            <w:tcBorders>
              <w:left w:val="nil"/>
              <w:right w:val="single" w:color="auto" w:sz="4" w:space="0"/>
            </w:tcBorders>
            <w:shd w:val="clear" w:color="auto" w:fill="auto"/>
            <w:vAlign w:val="center"/>
          </w:tcPr>
          <w:p>
            <w:pPr>
              <w:adjustRightInd w:val="0"/>
              <w:snapToGrid w:val="0"/>
              <w:ind w:left="-1"/>
              <w:jc w:val="left"/>
              <w:rPr>
                <w:rFonts w:ascii="宋体" w:hAnsi="宋体"/>
                <w:color w:val="auto"/>
                <w:sz w:val="20"/>
                <w:szCs w:val="20"/>
                <w:highlight w:val="none"/>
              </w:rPr>
            </w:pPr>
          </w:p>
        </w:tc>
        <w:tc>
          <w:tcPr>
            <w:tcW w:w="366"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方</w:t>
            </w:r>
          </w:p>
        </w:tc>
        <w:tc>
          <w:tcPr>
            <w:tcW w:w="504"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514"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67"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348" w:type="dxa"/>
            <w:tcBorders>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666"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5" w:type="dxa"/>
            <w:tcBorders>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25" w:type="dxa"/>
            <w:tcBorders>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938"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901" w:type="dxa"/>
            <w:vMerge w:val="continue"/>
            <w:tcBorders>
              <w:left w:val="nil"/>
              <w:bottom w:val="single" w:color="auto" w:sz="4" w:space="0"/>
              <w:right w:val="single" w:color="auto" w:sz="4" w:space="0"/>
            </w:tcBorders>
            <w:shd w:val="clear" w:color="auto" w:fill="auto"/>
            <w:vAlign w:val="center"/>
          </w:tcPr>
          <w:p>
            <w:pPr>
              <w:adjustRightInd w:val="0"/>
              <w:snapToGrid w:val="0"/>
              <w:ind w:left="-1"/>
              <w:jc w:val="left"/>
              <w:rPr>
                <w:rFonts w:ascii="宋体" w:hAnsi="宋体"/>
                <w:color w:val="auto"/>
                <w:sz w:val="20"/>
                <w:szCs w:val="20"/>
                <w:highlight w:val="none"/>
              </w:rPr>
            </w:pPr>
          </w:p>
        </w:tc>
        <w:tc>
          <w:tcPr>
            <w:tcW w:w="366" w:type="dxa"/>
            <w:tcBorders>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504" w:type="dxa"/>
            <w:tcBorders>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514" w:type="dxa"/>
            <w:tcBorders>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567" w:type="dxa"/>
            <w:tcBorders>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348" w:type="dxa"/>
            <w:tcBorders>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666"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auto"/>
            <w:vAlign w:val="center"/>
          </w:tcPr>
          <w:p>
            <w:pPr>
              <w:jc w:val="center"/>
              <w:rPr>
                <w:rFonts w:hint="eastAsia"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b2011169</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程序设计基础</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32</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16</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工程基础课</w:t>
            </w:r>
          </w:p>
        </w:tc>
        <w:tc>
          <w:tcPr>
            <w:tcW w:w="425" w:type="dxa"/>
            <w:tcBorders>
              <w:top w:val="single" w:color="auto" w:sz="4" w:space="0"/>
              <w:left w:val="nil"/>
              <w:right w:val="single" w:color="auto" w:sz="4" w:space="0"/>
            </w:tcBorders>
            <w:shd w:val="clear" w:color="auto" w:fill="auto"/>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b2013182</w:t>
            </w:r>
          </w:p>
        </w:tc>
        <w:tc>
          <w:tcPr>
            <w:tcW w:w="29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现代工程制图</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32</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b2011031</w:t>
            </w:r>
          </w:p>
        </w:tc>
        <w:tc>
          <w:tcPr>
            <w:tcW w:w="29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电路</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b2011539</w:t>
            </w:r>
          </w:p>
        </w:tc>
        <w:tc>
          <w:tcPr>
            <w:tcW w:w="29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工程力学</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b2012060</w:t>
            </w:r>
          </w:p>
        </w:tc>
        <w:tc>
          <w:tcPr>
            <w:tcW w:w="29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模拟电子技术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36</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b2012099</w:t>
            </w:r>
          </w:p>
        </w:tc>
        <w:tc>
          <w:tcPr>
            <w:tcW w:w="29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数字电子技术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36</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b2011045</w:t>
            </w:r>
          </w:p>
        </w:tc>
        <w:tc>
          <w:tcPr>
            <w:tcW w:w="29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工程光学</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8</w:t>
            </w:r>
            <w:r>
              <w:rPr>
                <w:rFonts w:hint="eastAsia" w:ascii="宋体" w:hAnsi="宋体" w:cs="宋体"/>
                <w:color w:val="auto"/>
                <w:sz w:val="20"/>
                <w:szCs w:val="20"/>
                <w:highlight w:val="none"/>
              </w:rPr>
              <w:t>　</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43"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 xml:space="preserve"> </w:t>
            </w:r>
            <w:r>
              <w:rPr>
                <w:rFonts w:ascii="宋体" w:hAnsi="宋体" w:cs="宋体"/>
                <w:b/>
                <w:bCs/>
                <w:color w:val="auto"/>
                <w:sz w:val="20"/>
                <w:szCs w:val="20"/>
                <w:highlight w:val="none"/>
              </w:rPr>
              <w:t xml:space="preserve">              </w:t>
            </w:r>
            <w:r>
              <w:rPr>
                <w:rFonts w:hint="eastAsia" w:ascii="宋体" w:hAnsi="宋体" w:cs="宋体"/>
                <w:b/>
                <w:bCs/>
                <w:color w:val="auto"/>
                <w:sz w:val="20"/>
                <w:szCs w:val="20"/>
                <w:highlight w:val="none"/>
              </w:rPr>
              <w:t xml:space="preserve">小 </w:t>
            </w:r>
            <w:r>
              <w:rPr>
                <w:rFonts w:ascii="宋体" w:hAnsi="宋体" w:cs="宋体"/>
                <w:b/>
                <w:bCs/>
                <w:color w:val="auto"/>
                <w:sz w:val="20"/>
                <w:szCs w:val="20"/>
                <w:highlight w:val="none"/>
              </w:rPr>
              <w:t xml:space="preserve">  </w:t>
            </w:r>
            <w:r>
              <w:rPr>
                <w:rFonts w:hint="eastAsia" w:ascii="宋体" w:hAnsi="宋体" w:cs="宋体"/>
                <w:b/>
                <w:bCs/>
                <w:color w:val="auto"/>
                <w:sz w:val="20"/>
                <w:szCs w:val="20"/>
                <w:highlight w:val="none"/>
              </w:rPr>
              <w:t>计（工程基础课）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w:t>
            </w:r>
            <w:r>
              <w:rPr>
                <w:rFonts w:ascii="宋体" w:hAnsi="宋体" w:cs="宋体"/>
                <w:b/>
                <w:bCs/>
                <w:color w:val="auto"/>
                <w:sz w:val="20"/>
                <w:szCs w:val="20"/>
                <w:highlight w:val="none"/>
              </w:rPr>
              <w:t>0</w:t>
            </w:r>
          </w:p>
        </w:tc>
        <w:tc>
          <w:tcPr>
            <w:tcW w:w="51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ascii="宋体" w:hAnsi="宋体" w:cs="宋体"/>
                <w:b/>
                <w:bCs/>
                <w:color w:val="auto"/>
                <w:sz w:val="20"/>
                <w:szCs w:val="20"/>
                <w:highlight w:val="none"/>
              </w:rPr>
              <w:t>320</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ascii="宋体" w:hAnsi="宋体" w:cs="宋体"/>
                <w:b/>
                <w:bCs/>
                <w:color w:val="auto"/>
                <w:sz w:val="20"/>
                <w:szCs w:val="20"/>
                <w:highlight w:val="none"/>
              </w:rPr>
              <w:t>240</w:t>
            </w:r>
          </w:p>
        </w:tc>
        <w:tc>
          <w:tcPr>
            <w:tcW w:w="34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ascii="宋体" w:hAnsi="宋体" w:cs="宋体"/>
                <w:b/>
                <w:bCs/>
                <w:color w:val="auto"/>
                <w:sz w:val="20"/>
                <w:szCs w:val="20"/>
                <w:highlight w:val="none"/>
              </w:rPr>
              <w:t>80</w:t>
            </w:r>
          </w:p>
        </w:tc>
        <w:tc>
          <w:tcPr>
            <w:tcW w:w="6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专业基础课</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b2011296</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测控技术与仪器专业导论</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w:t>
            </w:r>
            <w:r>
              <w:rPr>
                <w:rFonts w:ascii="宋体" w:hAnsi="宋体" w:cs="宋体"/>
                <w:color w:val="auto"/>
                <w:sz w:val="20"/>
                <w:szCs w:val="20"/>
                <w:highlight w:val="none"/>
              </w:rPr>
              <w:t>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　</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秋1</w:t>
            </w:r>
            <w:r>
              <w:rPr>
                <w:rFonts w:ascii="宋体" w:hAnsi="宋体" w:cs="宋体"/>
                <w:color w:val="auto"/>
                <w:sz w:val="20"/>
                <w:szCs w:val="20"/>
                <w:highlight w:val="none"/>
              </w:rPr>
              <w:t xml:space="preserve"> </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b2011257</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单片机技术基础</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32</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b2011471</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信号与系统</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36</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b2011418</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精密机械基础</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eastAsia="宋体" w:cs="Times New Roman"/>
                <w:color w:val="auto"/>
                <w:kern w:val="2"/>
                <w:sz w:val="20"/>
                <w:szCs w:val="20"/>
                <w:highlight w:val="none"/>
                <w:lang w:val="en-US" w:eastAsia="zh-CN" w:bidi="ar-SA"/>
              </w:rPr>
            </w:pPr>
            <w:r>
              <w:rPr>
                <w:rFonts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top"/>
          </w:tcPr>
          <w:p>
            <w:pPr>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b2011520</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auto"/>
                <w:kern w:val="2"/>
                <w:sz w:val="20"/>
                <w:szCs w:val="20"/>
                <w:highlight w:val="none"/>
                <w:lang w:val="en-US" w:eastAsia="zh-CN" w:bidi="ar-SA"/>
              </w:rPr>
            </w:pPr>
            <w:r>
              <w:rPr>
                <w:rFonts w:ascii="宋体" w:hAnsi="宋体"/>
                <w:color w:val="auto"/>
                <w:sz w:val="20"/>
                <w:szCs w:val="20"/>
                <w:highlight w:val="none"/>
              </w:rPr>
              <w:t>科技论文写作与文献检索</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ascii="宋体" w:hAnsi="宋体"/>
                <w:color w:val="auto"/>
                <w:sz w:val="20"/>
                <w:szCs w:val="20"/>
                <w:highlight w:val="none"/>
              </w:rPr>
              <w:t>1</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1</w:t>
            </w:r>
            <w:r>
              <w:rPr>
                <w:rFonts w:ascii="宋体" w:hAnsi="宋体" w:cs="宋体"/>
                <w:color w:val="auto"/>
                <w:sz w:val="20"/>
                <w:szCs w:val="20"/>
                <w:highlight w:val="none"/>
              </w:rPr>
              <w:t>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1</w:t>
            </w:r>
            <w:r>
              <w:rPr>
                <w:rFonts w:ascii="宋体" w:hAnsi="宋体" w:cs="宋体"/>
                <w:color w:val="auto"/>
                <w:sz w:val="20"/>
                <w:szCs w:val="20"/>
                <w:highlight w:val="none"/>
              </w:rPr>
              <w:t>6</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b2011292</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highlight w:val="none"/>
              </w:rPr>
            </w:pPr>
            <w:r>
              <w:rPr>
                <w:rFonts w:hint="eastAsia" w:ascii="宋体" w:hAnsi="宋体" w:cs="宋体"/>
                <w:color w:val="auto"/>
                <w:sz w:val="20"/>
                <w:szCs w:val="20"/>
                <w:highlight w:val="none"/>
              </w:rPr>
              <w:t>自动控制原理</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36</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eastAsia="宋体" w:cs="宋体"/>
                <w:color w:val="auto"/>
                <w:sz w:val="20"/>
                <w:szCs w:val="20"/>
                <w:highlight w:val="none"/>
              </w:rPr>
              <w:t>b2011023</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highlight w:val="none"/>
              </w:rPr>
            </w:pPr>
            <w:r>
              <w:rPr>
                <w:rFonts w:hint="eastAsia" w:ascii="宋体" w:hAnsi="宋体" w:cs="宋体"/>
                <w:color w:val="auto"/>
                <w:sz w:val="20"/>
                <w:szCs w:val="20"/>
                <w:highlight w:val="none"/>
              </w:rPr>
              <w:t>传感器原理</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b2011540</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olor w:val="auto"/>
                <w:sz w:val="20"/>
                <w:szCs w:val="20"/>
                <w:highlight w:val="none"/>
              </w:rPr>
              <w:t>测控总线与仪器通信技术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303"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bCs/>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i w:val="0"/>
                <w:iCs w:val="0"/>
                <w:color w:val="auto"/>
                <w:kern w:val="0"/>
                <w:sz w:val="18"/>
                <w:szCs w:val="18"/>
                <w:highlight w:val="none"/>
                <w:u w:val="none"/>
                <w:lang w:val="en-US" w:eastAsia="zh-CN" w:bidi="ar"/>
              </w:rPr>
              <w:t>16</w:t>
            </w:r>
          </w:p>
        </w:tc>
        <w:tc>
          <w:tcPr>
            <w:tcW w:w="514"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i w:val="0"/>
                <w:iCs w:val="0"/>
                <w:color w:val="auto"/>
                <w:kern w:val="0"/>
                <w:sz w:val="18"/>
                <w:szCs w:val="18"/>
                <w:highlight w:val="none"/>
                <w:u w:val="none"/>
                <w:lang w:val="en-US" w:eastAsia="zh-CN" w:bidi="ar"/>
              </w:rPr>
              <w:t>256</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i w:val="0"/>
                <w:iCs w:val="0"/>
                <w:color w:val="auto"/>
                <w:kern w:val="0"/>
                <w:sz w:val="18"/>
                <w:szCs w:val="18"/>
                <w:highlight w:val="none"/>
                <w:u w:val="none"/>
                <w:lang w:val="en-US" w:eastAsia="zh-CN" w:bidi="ar"/>
              </w:rPr>
              <w:t>206</w:t>
            </w:r>
          </w:p>
        </w:tc>
        <w:tc>
          <w:tcPr>
            <w:tcW w:w="348"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i w:val="0"/>
                <w:iCs w:val="0"/>
                <w:color w:val="auto"/>
                <w:kern w:val="0"/>
                <w:sz w:val="18"/>
                <w:szCs w:val="18"/>
                <w:highlight w:val="none"/>
                <w:u w:val="none"/>
                <w:lang w:val="en-US" w:eastAsia="zh-CN" w:bidi="ar"/>
              </w:rPr>
              <w:t>50</w:t>
            </w:r>
          </w:p>
        </w:tc>
        <w:tc>
          <w:tcPr>
            <w:tcW w:w="666"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b/>
                <w:bCs/>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专</w:t>
            </w:r>
          </w:p>
          <w:p>
            <w:pPr>
              <w:jc w:val="center"/>
              <w:rPr>
                <w:rFonts w:ascii="宋体" w:hAnsi="宋体"/>
                <w:b/>
                <w:color w:val="auto"/>
                <w:sz w:val="20"/>
                <w:szCs w:val="20"/>
                <w:highlight w:val="none"/>
              </w:rPr>
            </w:pPr>
            <w:r>
              <w:rPr>
                <w:rFonts w:hint="eastAsia" w:ascii="宋体" w:hAnsi="宋体"/>
                <w:b/>
                <w:color w:val="auto"/>
                <w:sz w:val="20"/>
                <w:szCs w:val="20"/>
                <w:highlight w:val="none"/>
              </w:rPr>
              <w:t>业</w:t>
            </w:r>
          </w:p>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b2011235</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虚拟仪器技术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36</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12</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eastAsia="宋体" w:cs="宋体"/>
                <w:color w:val="auto"/>
                <w:sz w:val="20"/>
                <w:szCs w:val="20"/>
                <w:highlight w:val="none"/>
              </w:rPr>
              <w:t>b2011298</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智能仪器技术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top"/>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b2011006</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PLC原理及应用</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top"/>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b2011547</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数字图像处理</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b2011297</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运动控制系统</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8</w:t>
            </w:r>
          </w:p>
          <w:p>
            <w:pPr>
              <w:rPr>
                <w:color w:val="auto"/>
                <w:highlight w:val="none"/>
              </w:rPr>
            </w:pP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b2011131</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误差理论与数据处理</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b201141</w:t>
            </w:r>
            <w:r>
              <w:rPr>
                <w:rFonts w:hint="eastAsia" w:ascii="宋体" w:hAnsi="宋体" w:cs="宋体"/>
                <w:color w:val="auto"/>
                <w:sz w:val="20"/>
                <w:szCs w:val="20"/>
                <w:highlight w:val="none"/>
              </w:rPr>
              <w:t>9</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光电传感与检测</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b2011056</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工业自动化与机器人技术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b2011143</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项目管理</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26</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7"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68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小    计（专业必修课）</w:t>
            </w:r>
          </w:p>
        </w:tc>
        <w:tc>
          <w:tcPr>
            <w:tcW w:w="366" w:type="dxa"/>
            <w:tcBorders>
              <w:top w:val="nil"/>
              <w:left w:val="nil"/>
              <w:bottom w:val="single" w:color="auto" w:sz="4" w:space="0"/>
              <w:right w:val="single" w:color="auto" w:sz="4" w:space="0"/>
            </w:tcBorders>
            <w:shd w:val="clear" w:color="auto" w:fill="auto"/>
          </w:tcPr>
          <w:p>
            <w:pPr>
              <w:jc w:val="center"/>
              <w:rPr>
                <w:rFonts w:ascii="宋体" w:hAnsi="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ascii="宋体" w:hAnsi="宋体" w:cs="宋体"/>
                <w:b/>
                <w:color w:val="auto"/>
                <w:sz w:val="20"/>
                <w:szCs w:val="20"/>
                <w:highlight w:val="none"/>
              </w:rPr>
              <w:t>19</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3</w:t>
            </w:r>
            <w:r>
              <w:rPr>
                <w:rFonts w:ascii="宋体" w:hAnsi="宋体" w:cs="宋体"/>
                <w:b/>
                <w:color w:val="auto"/>
                <w:sz w:val="20"/>
                <w:szCs w:val="20"/>
                <w:highlight w:val="none"/>
              </w:rPr>
              <w:t>04</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ascii="宋体" w:hAnsi="宋体" w:cs="宋体"/>
                <w:b/>
                <w:color w:val="auto"/>
                <w:sz w:val="20"/>
                <w:szCs w:val="20"/>
                <w:highlight w:val="none"/>
              </w:rPr>
              <w:t>230</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ascii="宋体" w:hAnsi="宋体" w:cs="宋体"/>
                <w:b/>
                <w:color w:val="auto"/>
                <w:sz w:val="20"/>
                <w:szCs w:val="20"/>
                <w:highlight w:val="none"/>
              </w:rPr>
              <w:t>74</w:t>
            </w:r>
          </w:p>
        </w:tc>
        <w:tc>
          <w:tcPr>
            <w:tcW w:w="666" w:type="dxa"/>
            <w:tcBorders>
              <w:top w:val="nil"/>
              <w:left w:val="nil"/>
              <w:bottom w:val="single" w:color="auto" w:sz="4" w:space="0"/>
              <w:right w:val="single" w:color="auto" w:sz="4" w:space="0"/>
            </w:tcBorders>
            <w:shd w:val="clear" w:color="auto" w:fill="auto"/>
          </w:tcPr>
          <w:p>
            <w:pPr>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restart"/>
            <w:tcBorders>
              <w:top w:val="nil"/>
              <w:left w:val="nil"/>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选</w:t>
            </w:r>
          </w:p>
          <w:p>
            <w:pPr>
              <w:jc w:val="center"/>
              <w:rPr>
                <w:rFonts w:ascii="宋体" w:hAnsi="宋体"/>
                <w:color w:val="auto"/>
                <w:sz w:val="20"/>
                <w:szCs w:val="20"/>
                <w:highlight w:val="none"/>
              </w:rPr>
            </w:pPr>
            <w:r>
              <w:rPr>
                <w:rFonts w:hint="eastAsia" w:ascii="宋体" w:hAnsi="宋体"/>
                <w:color w:val="auto"/>
                <w:sz w:val="20"/>
                <w:szCs w:val="20"/>
                <w:highlight w:val="none"/>
              </w:rPr>
              <w:t>修</w:t>
            </w:r>
          </w:p>
          <w:p>
            <w:pPr>
              <w:jc w:val="center"/>
              <w:rPr>
                <w:rFonts w:ascii="宋体" w:hAnsi="宋体"/>
                <w:color w:val="auto"/>
                <w:sz w:val="20"/>
                <w:szCs w:val="20"/>
                <w:highlight w:val="none"/>
              </w:rPr>
            </w:pPr>
            <w:r>
              <w:rPr>
                <w:rFonts w:ascii="宋体" w:hAnsi="宋体"/>
                <w:color w:val="auto"/>
                <w:sz w:val="20"/>
                <w:szCs w:val="20"/>
                <w:highlight w:val="none"/>
              </w:rPr>
              <w:t>6</w:t>
            </w:r>
          </w:p>
          <w:p>
            <w:pPr>
              <w:jc w:val="center"/>
              <w:rPr>
                <w:rFonts w:ascii="宋体" w:hAnsi="宋体"/>
                <w:color w:val="auto"/>
                <w:sz w:val="20"/>
                <w:szCs w:val="20"/>
                <w:highlight w:val="none"/>
              </w:rPr>
            </w:pPr>
            <w:r>
              <w:rPr>
                <w:rFonts w:hint="eastAsia" w:ascii="宋体" w:hAnsi="宋体"/>
                <w:color w:val="auto"/>
                <w:sz w:val="20"/>
                <w:szCs w:val="20"/>
                <w:highlight w:val="none"/>
              </w:rPr>
              <w:t>学</w:t>
            </w:r>
          </w:p>
          <w:p>
            <w:pPr>
              <w:jc w:val="center"/>
              <w:rPr>
                <w:rFonts w:ascii="宋体" w:hAnsi="宋体"/>
                <w:color w:val="auto"/>
                <w:sz w:val="20"/>
                <w:szCs w:val="20"/>
                <w:highlight w:val="none"/>
              </w:rPr>
            </w:pPr>
            <w:r>
              <w:rPr>
                <w:rFonts w:hint="eastAsia" w:ascii="宋体" w:hAnsi="宋体"/>
                <w:color w:val="auto"/>
                <w:sz w:val="20"/>
                <w:szCs w:val="20"/>
                <w:highlight w:val="none"/>
              </w:rPr>
              <w:t>分</w:t>
            </w: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b2011063</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光电电路设计与应用</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top"/>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b2011135</w:t>
            </w:r>
          </w:p>
        </w:tc>
        <w:tc>
          <w:tcPr>
            <w:tcW w:w="290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先进制造技术</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26</w:t>
            </w:r>
          </w:p>
        </w:tc>
        <w:tc>
          <w:tcPr>
            <w:tcW w:w="3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b2011014</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测控技术应用</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b2011542</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机器视觉与工业检测</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b2011543</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虚拟现实技术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b2011274</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测控技术与系统</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w:t>
            </w:r>
            <w:r>
              <w:rPr>
                <w:rFonts w:ascii="宋体" w:hAnsi="宋体" w:cs="宋体"/>
                <w:color w:val="auto"/>
                <w:sz w:val="20"/>
                <w:szCs w:val="20"/>
                <w:highlight w:val="none"/>
              </w:rPr>
              <w:t>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b2011066</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红外技术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b2011275</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现代控制理论</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b2011544</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人工智能技术及应用</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w:t>
            </w:r>
            <w:r>
              <w:rPr>
                <w:rFonts w:hint="eastAsia" w:ascii="宋体" w:hAnsi="宋体" w:cs="宋体"/>
                <w:color w:val="auto"/>
                <w:sz w:val="20"/>
                <w:szCs w:val="20"/>
                <w:highlight w:val="none"/>
              </w:rPr>
              <w:t>6</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Calibri"/>
                <w:color w:val="auto"/>
                <w:sz w:val="20"/>
                <w:szCs w:val="20"/>
                <w:highlight w:val="none"/>
              </w:rPr>
            </w:pPr>
            <w:r>
              <w:rPr>
                <w:rFonts w:hint="eastAsia" w:ascii="宋体" w:hAnsi="宋体" w:cs="宋体"/>
                <w:color w:val="auto"/>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b2011545</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汽车传感器与检测技术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Calibri"/>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color w:val="auto"/>
                <w:sz w:val="20"/>
                <w:szCs w:val="20"/>
                <w:highlight w:val="none"/>
              </w:rPr>
            </w:pPr>
            <w:r>
              <w:rPr>
                <w:rFonts w:ascii="宋体" w:hAnsi="宋体" w:cs="宋体"/>
                <w:color w:val="auto"/>
                <w:sz w:val="20"/>
                <w:szCs w:val="20"/>
                <w:highlight w:val="none"/>
              </w:rPr>
              <w:t>b20114</w:t>
            </w:r>
            <w:r>
              <w:rPr>
                <w:rFonts w:hint="eastAsia" w:ascii="宋体" w:hAnsi="宋体" w:cs="宋体"/>
                <w:color w:val="auto"/>
                <w:sz w:val="20"/>
                <w:szCs w:val="20"/>
                <w:highlight w:val="none"/>
              </w:rPr>
              <w:t>24</w:t>
            </w:r>
          </w:p>
        </w:tc>
        <w:tc>
          <w:tcPr>
            <w:tcW w:w="2901"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汽车概论</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default" w:ascii="宋体" w:hAnsi="宋体" w:eastAsia="宋体"/>
                <w:b/>
                <w:color w:val="auto"/>
                <w:sz w:val="20"/>
                <w:szCs w:val="20"/>
                <w:highlight w:val="none"/>
                <w:lang w:val="en-US" w:eastAsia="zh-CN"/>
              </w:rPr>
            </w:pPr>
            <w:r>
              <w:rPr>
                <w:rFonts w:hint="eastAsia" w:ascii="宋体" w:hAnsi="宋体"/>
                <w:b/>
                <w:color w:val="auto"/>
                <w:sz w:val="20"/>
                <w:szCs w:val="20"/>
                <w:highlight w:val="none"/>
                <w:lang w:val="en-US" w:eastAsia="zh-CN"/>
              </w:rPr>
              <w:t>-----------------</w:t>
            </w:r>
          </w:p>
        </w:tc>
        <w:tc>
          <w:tcPr>
            <w:tcW w:w="425" w:type="dxa"/>
            <w:vMerge w:val="continue"/>
            <w:tcBorders>
              <w:left w:val="nil"/>
              <w:right w:val="single" w:color="auto" w:sz="4" w:space="0"/>
            </w:tcBorders>
            <w:shd w:val="clear" w:color="auto" w:fill="auto"/>
            <w:vAlign w:val="center"/>
          </w:tcPr>
          <w:p>
            <w:pPr>
              <w:jc w:val="center"/>
              <w:rPr>
                <w:rFonts w:hint="default" w:ascii="宋体" w:hAnsi="宋体"/>
                <w:color w:val="auto"/>
                <w:sz w:val="20"/>
                <w:szCs w:val="20"/>
                <w:highlight w:val="none"/>
                <w:lang w:val="en-US"/>
              </w:rPr>
            </w:pPr>
          </w:p>
        </w:tc>
        <w:tc>
          <w:tcPr>
            <w:tcW w:w="425" w:type="dxa"/>
            <w:tcBorders>
              <w:top w:val="single" w:color="auto" w:sz="4" w:space="0"/>
              <w:left w:val="nil"/>
              <w:bottom w:val="single" w:color="auto" w:sz="4" w:space="0"/>
              <w:right w:val="single" w:color="auto" w:sz="4" w:space="0"/>
            </w:tcBorders>
            <w:shd w:val="clear" w:color="auto" w:fill="auto"/>
            <w:vAlign w:val="top"/>
          </w:tcPr>
          <w:p>
            <w:pPr>
              <w:jc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b2011273</w:t>
            </w:r>
          </w:p>
        </w:tc>
        <w:tc>
          <w:tcPr>
            <w:tcW w:w="2901" w:type="dxa"/>
            <w:tcBorders>
              <w:top w:val="nil"/>
              <w:left w:val="nil"/>
              <w:bottom w:val="single" w:color="auto" w:sz="4" w:space="0"/>
              <w:right w:val="single" w:color="auto" w:sz="4" w:space="0"/>
            </w:tcBorders>
            <w:shd w:val="clear" w:color="auto" w:fill="auto"/>
            <w:vAlign w:val="center"/>
          </w:tcPr>
          <w:p>
            <w:pPr>
              <w:rPr>
                <w:rFonts w:hint="default"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微机原理与接口技术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0"/>
                <w:szCs w:val="20"/>
                <w:highlight w:val="none"/>
                <w:lang w:val="en-US" w:eastAsia="zh-CN" w:bidi="ar-SA"/>
              </w:rPr>
            </w:pPr>
            <w:r>
              <w:rPr>
                <w:rFonts w:ascii="宋体" w:hAnsi="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0"/>
                <w:szCs w:val="20"/>
                <w:highlight w:val="none"/>
                <w:lang w:val="en-US" w:eastAsia="zh-CN" w:bidi="ar-SA"/>
              </w:rPr>
            </w:pPr>
            <w:r>
              <w:rPr>
                <w:rFonts w:ascii="宋体" w:hAnsi="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0"/>
                <w:szCs w:val="20"/>
                <w:highlight w:val="none"/>
                <w:lang w:val="en-US" w:eastAsia="zh-CN" w:bidi="ar-SA"/>
              </w:rPr>
            </w:pPr>
            <w:r>
              <w:rPr>
                <w:rFonts w:ascii="宋体" w:hAnsi="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0"/>
                <w:szCs w:val="20"/>
                <w:highlight w:val="none"/>
                <w:lang w:val="en-US" w:eastAsia="zh-CN" w:bidi="ar-SA"/>
              </w:rPr>
            </w:pPr>
            <w:r>
              <w:rPr>
                <w:rFonts w:ascii="宋体" w:hAnsi="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秋</w:t>
            </w:r>
            <w:r>
              <w:rPr>
                <w:rFonts w:ascii="宋体" w:hAnsi="宋体" w:cs="宋体"/>
                <w:color w:val="auto"/>
                <w:sz w:val="20"/>
                <w:szCs w:val="20"/>
                <w:highlight w:val="none"/>
              </w:rPr>
              <w:t>4</w:t>
            </w:r>
          </w:p>
        </w:tc>
      </w:tr>
      <w:tr>
        <w:tblPrEx>
          <w:tblCellMar>
            <w:top w:w="0" w:type="dxa"/>
            <w:left w:w="0" w:type="dxa"/>
            <w:bottom w:w="0" w:type="dxa"/>
            <w:right w:w="0" w:type="dxa"/>
          </w:tblCellMar>
        </w:tblPrEx>
        <w:trPr>
          <w:trHeight w:val="283"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68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小     计（专业选修课）</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ascii="宋体" w:hAnsi="宋体" w:cs="宋体"/>
                <w:b/>
                <w:color w:val="auto"/>
                <w:sz w:val="20"/>
                <w:szCs w:val="20"/>
                <w:highlight w:val="none"/>
              </w:rPr>
              <w:t>6</w:t>
            </w:r>
          </w:p>
        </w:tc>
        <w:tc>
          <w:tcPr>
            <w:tcW w:w="5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ascii="宋体" w:hAnsi="宋体" w:cs="宋体"/>
                <w:b/>
                <w:color w:val="auto"/>
                <w:sz w:val="20"/>
                <w:szCs w:val="20"/>
                <w:highlight w:val="none"/>
              </w:rPr>
              <w:t>96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ascii="宋体" w:hAnsi="宋体" w:cs="宋体"/>
                <w:b/>
                <w:color w:val="auto"/>
                <w:sz w:val="20"/>
                <w:szCs w:val="20"/>
                <w:highlight w:val="none"/>
              </w:rPr>
              <w:t xml:space="preserve">72          </w:t>
            </w:r>
          </w:p>
        </w:tc>
        <w:tc>
          <w:tcPr>
            <w:tcW w:w="348"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ascii="宋体" w:hAnsi="宋体"/>
                <w:b/>
                <w:color w:val="auto"/>
                <w:sz w:val="20"/>
                <w:szCs w:val="20"/>
                <w:highlight w:val="none"/>
              </w:rPr>
              <w:t xml:space="preserve">24                </w:t>
            </w:r>
          </w:p>
        </w:tc>
        <w:tc>
          <w:tcPr>
            <w:tcW w:w="666" w:type="dxa"/>
            <w:tcBorders>
              <w:top w:val="nil"/>
              <w:left w:val="nil"/>
              <w:bottom w:val="single" w:color="auto" w:sz="4" w:space="0"/>
              <w:right w:val="single" w:color="auto" w:sz="4" w:space="0"/>
            </w:tcBorders>
            <w:shd w:val="clear" w:color="auto" w:fill="auto"/>
          </w:tcPr>
          <w:p>
            <w:pPr>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94"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 xml:space="preserve">小 </w:t>
            </w:r>
            <w:r>
              <w:rPr>
                <w:rFonts w:ascii="宋体" w:hAnsi="宋体"/>
                <w:b/>
                <w:color w:val="auto"/>
                <w:sz w:val="20"/>
                <w:szCs w:val="20"/>
                <w:highlight w:val="none"/>
              </w:rPr>
              <w:t xml:space="preserve">     </w:t>
            </w:r>
            <w:r>
              <w:rPr>
                <w:rFonts w:hint="eastAsia" w:ascii="宋体" w:hAnsi="宋体"/>
                <w:b/>
                <w:color w:val="auto"/>
                <w:sz w:val="20"/>
                <w:szCs w:val="20"/>
                <w:highlight w:val="none"/>
              </w:rPr>
              <w:t>计（专业课）</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2</w:t>
            </w:r>
            <w:r>
              <w:rPr>
                <w:rFonts w:ascii="宋体" w:hAnsi="宋体" w:cs="宋体"/>
                <w:b/>
                <w:color w:val="auto"/>
                <w:sz w:val="20"/>
                <w:szCs w:val="20"/>
                <w:highlight w:val="none"/>
              </w:rPr>
              <w:t>5</w:t>
            </w:r>
          </w:p>
        </w:tc>
        <w:tc>
          <w:tcPr>
            <w:tcW w:w="51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4</w:t>
            </w:r>
            <w:r>
              <w:rPr>
                <w:rFonts w:ascii="宋体" w:hAnsi="宋体" w:cs="宋体"/>
                <w:b/>
                <w:color w:val="auto"/>
                <w:sz w:val="20"/>
                <w:szCs w:val="20"/>
                <w:highlight w:val="none"/>
              </w:rPr>
              <w:t>00</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ascii="宋体" w:hAnsi="宋体" w:cs="宋体"/>
                <w:b/>
                <w:color w:val="auto"/>
                <w:sz w:val="20"/>
                <w:szCs w:val="20"/>
                <w:highlight w:val="none"/>
              </w:rPr>
              <w:t>302</w:t>
            </w:r>
          </w:p>
        </w:tc>
        <w:tc>
          <w:tcPr>
            <w:tcW w:w="34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ascii="宋体" w:hAnsi="宋体" w:cs="宋体"/>
                <w:b/>
                <w:color w:val="auto"/>
                <w:sz w:val="20"/>
                <w:szCs w:val="20"/>
                <w:highlight w:val="none"/>
              </w:rPr>
              <w:t>98</w:t>
            </w:r>
          </w:p>
        </w:tc>
        <w:tc>
          <w:tcPr>
            <w:tcW w:w="66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宋体" w:hAnsi="宋体"/>
                <w:b/>
                <w:color w:val="auto"/>
                <w:sz w:val="20"/>
                <w:szCs w:val="20"/>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color w:val="auto"/>
          <w:szCs w:val="21"/>
          <w:highlight w:val="none"/>
        </w:rPr>
      </w:pPr>
      <w:r>
        <w:rPr>
          <w:rFonts w:hint="eastAsia" w:ascii="黑体" w:eastAsia="黑体"/>
          <w:b/>
          <w:color w:val="auto"/>
          <w:szCs w:val="21"/>
          <w:highlight w:val="none"/>
        </w:rPr>
        <w:t>九，教学安排一览表（3）</w:t>
      </w:r>
    </w:p>
    <w:tbl>
      <w:tblPr>
        <w:tblStyle w:val="3"/>
        <w:tblW w:w="8310" w:type="dxa"/>
        <w:jc w:val="center"/>
        <w:shd w:val="clear" w:color="auto" w:fill="FFFFFF" w:themeFill="background1"/>
        <w:tblLayout w:type="fixed"/>
        <w:tblCellMar>
          <w:top w:w="0" w:type="dxa"/>
          <w:left w:w="0" w:type="dxa"/>
          <w:bottom w:w="0" w:type="dxa"/>
          <w:right w:w="0" w:type="dxa"/>
        </w:tblCellMar>
      </w:tblPr>
      <w:tblGrid>
        <w:gridCol w:w="308"/>
        <w:gridCol w:w="434"/>
        <w:gridCol w:w="415"/>
        <w:gridCol w:w="19"/>
        <w:gridCol w:w="950"/>
        <w:gridCol w:w="2999"/>
        <w:gridCol w:w="403"/>
        <w:gridCol w:w="567"/>
        <w:gridCol w:w="567"/>
        <w:gridCol w:w="425"/>
        <w:gridCol w:w="567"/>
        <w:gridCol w:w="656"/>
      </w:tblGrid>
      <w:tr>
        <w:tblPrEx>
          <w:shd w:val="clear" w:color="auto" w:fill="FFFFFF" w:themeFill="background1"/>
          <w:tblCellMar>
            <w:top w:w="0" w:type="dxa"/>
            <w:left w:w="0" w:type="dxa"/>
            <w:bottom w:w="0" w:type="dxa"/>
            <w:right w:w="0" w:type="dxa"/>
          </w:tblCellMar>
        </w:tblPrEx>
        <w:trPr>
          <w:trHeight w:val="240" w:hRule="atLeast"/>
          <w:jc w:val="center"/>
        </w:trPr>
        <w:tc>
          <w:tcPr>
            <w:tcW w:w="308" w:type="dxa"/>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34"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1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开</w:t>
            </w:r>
          </w:p>
        </w:tc>
        <w:tc>
          <w:tcPr>
            <w:tcW w:w="969" w:type="dxa"/>
            <w:gridSpan w:val="2"/>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2999"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03"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考</w:t>
            </w:r>
          </w:p>
        </w:tc>
        <w:tc>
          <w:tcPr>
            <w:tcW w:w="567"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567"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理</w:t>
            </w:r>
          </w:p>
        </w:tc>
        <w:tc>
          <w:tcPr>
            <w:tcW w:w="567"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实</w:t>
            </w:r>
          </w:p>
        </w:tc>
        <w:tc>
          <w:tcPr>
            <w:tcW w:w="656"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建议</w:t>
            </w:r>
          </w:p>
        </w:tc>
      </w:tr>
      <w:tr>
        <w:tblPrEx>
          <w:shd w:val="clear" w:color="auto" w:fill="FFFFFF" w:themeFill="background1"/>
          <w:tblCellMar>
            <w:top w:w="0" w:type="dxa"/>
            <w:left w:w="0" w:type="dxa"/>
            <w:bottom w:w="0" w:type="dxa"/>
            <w:right w:w="0" w:type="dxa"/>
          </w:tblCellMar>
        </w:tblPrEx>
        <w:trPr>
          <w:trHeight w:val="240" w:hRule="atLeast"/>
          <w:jc w:val="center"/>
        </w:trPr>
        <w:tc>
          <w:tcPr>
            <w:tcW w:w="308"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3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1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969" w:type="dxa"/>
            <w:gridSpan w:val="2"/>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2999"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403"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核</w:t>
            </w:r>
          </w:p>
        </w:tc>
        <w:tc>
          <w:tcPr>
            <w:tcW w:w="567"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67"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42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论</w:t>
            </w:r>
          </w:p>
        </w:tc>
        <w:tc>
          <w:tcPr>
            <w:tcW w:w="567"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656"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修读</w:t>
            </w:r>
          </w:p>
        </w:tc>
      </w:tr>
      <w:tr>
        <w:tblPrEx>
          <w:shd w:val="clear" w:color="auto" w:fill="FFFFFF" w:themeFill="background1"/>
          <w:tblCellMar>
            <w:top w:w="0" w:type="dxa"/>
            <w:left w:w="0" w:type="dxa"/>
            <w:bottom w:w="0" w:type="dxa"/>
            <w:right w:w="0" w:type="dxa"/>
          </w:tblCellMar>
        </w:tblPrEx>
        <w:trPr>
          <w:trHeight w:val="240" w:hRule="atLeast"/>
          <w:jc w:val="center"/>
        </w:trPr>
        <w:tc>
          <w:tcPr>
            <w:tcW w:w="308"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类</w:t>
            </w:r>
          </w:p>
        </w:tc>
        <w:tc>
          <w:tcPr>
            <w:tcW w:w="43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性</w:t>
            </w:r>
          </w:p>
        </w:tc>
        <w:tc>
          <w:tcPr>
            <w:tcW w:w="41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969" w:type="dxa"/>
            <w:gridSpan w:val="2"/>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代</w:t>
            </w:r>
          </w:p>
        </w:tc>
        <w:tc>
          <w:tcPr>
            <w:tcW w:w="2999"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b/>
                <w:color w:val="auto"/>
                <w:sz w:val="20"/>
                <w:szCs w:val="20"/>
                <w:highlight w:val="none"/>
              </w:rPr>
            </w:pPr>
          </w:p>
        </w:tc>
        <w:tc>
          <w:tcPr>
            <w:tcW w:w="403"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方</w:t>
            </w:r>
          </w:p>
        </w:tc>
        <w:tc>
          <w:tcPr>
            <w:tcW w:w="567"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567"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2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67"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656"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8" w:type="dxa"/>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34"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15"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969" w:type="dxa"/>
            <w:gridSpan w:val="2"/>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999"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p>
        </w:tc>
        <w:tc>
          <w:tcPr>
            <w:tcW w:w="403"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567"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567"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25"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67"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656"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57" w:hRule="exact"/>
          <w:jc w:val="center"/>
        </w:trPr>
        <w:tc>
          <w:tcPr>
            <w:tcW w:w="308" w:type="dxa"/>
            <w:vMerge w:val="restart"/>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专</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业</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实</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96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b4090002</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olor w:val="auto"/>
                <w:sz w:val="20"/>
                <w:szCs w:val="20"/>
                <w:highlight w:val="none"/>
              </w:rPr>
              <w:t>基础工程训练B</w:t>
            </w:r>
          </w:p>
        </w:tc>
        <w:tc>
          <w:tcPr>
            <w:tcW w:w="40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5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shd w:val="clear" w:color="auto" w:fill="FFFFFF" w:themeFill="background1"/>
          <w:tblCellMar>
            <w:top w:w="0" w:type="dxa"/>
            <w:left w:w="0" w:type="dxa"/>
            <w:bottom w:w="0" w:type="dxa"/>
            <w:right w:w="0" w:type="dxa"/>
          </w:tblCellMar>
        </w:tblPrEx>
        <w:trPr>
          <w:trHeight w:val="257"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ascii="宋体" w:hAnsi="宋体"/>
                <w:color w:val="auto"/>
                <w:sz w:val="20"/>
                <w:szCs w:val="20"/>
                <w:highlight w:val="none"/>
              </w:rPr>
              <w:t>b4011386</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olor w:val="auto"/>
                <w:sz w:val="20"/>
                <w:szCs w:val="20"/>
                <w:highlight w:val="none"/>
              </w:rPr>
              <w:t>测控系统认知实践</w:t>
            </w:r>
          </w:p>
        </w:tc>
        <w:tc>
          <w:tcPr>
            <w:tcW w:w="40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5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b4011128</w:t>
            </w:r>
          </w:p>
        </w:tc>
        <w:tc>
          <w:tcPr>
            <w:tcW w:w="299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olor w:val="auto"/>
                <w:sz w:val="20"/>
                <w:szCs w:val="20"/>
                <w:highlight w:val="none"/>
              </w:rPr>
              <w:t>电子技术实践</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b4011145</w:t>
            </w:r>
          </w:p>
        </w:tc>
        <w:tc>
          <w:tcPr>
            <w:tcW w:w="299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计算机辅助设计</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Arial"/>
                <w:color w:val="auto"/>
                <w:sz w:val="20"/>
                <w:szCs w:val="20"/>
                <w:highlight w:val="none"/>
              </w:rPr>
              <w:t>b4011387</w:t>
            </w:r>
          </w:p>
        </w:tc>
        <w:tc>
          <w:tcPr>
            <w:tcW w:w="299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数据采集系统设计</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b4011396</w:t>
            </w:r>
          </w:p>
        </w:tc>
        <w:tc>
          <w:tcPr>
            <w:tcW w:w="299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电子电路设计与仿真</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ascii="宋体" w:hAnsi="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ascii="宋体" w:hAnsi="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b4011390</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单片机设计与应用</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2</w:t>
            </w:r>
            <w:r>
              <w:rPr>
                <w:rFonts w:ascii="宋体" w:hAnsi="宋体" w:cs="宋体"/>
                <w:color w:val="auto"/>
                <w:sz w:val="20"/>
                <w:szCs w:val="20"/>
                <w:highlight w:val="none"/>
              </w:rPr>
              <w:t>4</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2"/>
                <w:sz w:val="20"/>
                <w:szCs w:val="20"/>
                <w:highlight w:val="none"/>
                <w:lang w:val="en-US" w:eastAsia="zh-CN" w:bidi="ar-SA"/>
              </w:rPr>
            </w:pP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2</w:t>
            </w:r>
            <w:r>
              <w:rPr>
                <w:rFonts w:ascii="宋体" w:hAnsi="宋体" w:cs="宋体"/>
                <w:color w:val="auto"/>
                <w:sz w:val="20"/>
                <w:szCs w:val="20"/>
                <w:highlight w:val="none"/>
              </w:rPr>
              <w:t>4</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夏2</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Arial"/>
                <w:color w:val="auto"/>
                <w:sz w:val="20"/>
                <w:szCs w:val="20"/>
                <w:highlight w:val="none"/>
              </w:rPr>
              <w:t>b4011389</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嵌入式系统设计与应用</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Arial"/>
                <w:color w:val="auto"/>
                <w:sz w:val="20"/>
                <w:szCs w:val="20"/>
                <w:highlight w:val="none"/>
              </w:rPr>
              <w:t>b4011391</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虚拟仪器设计与开发</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b4011339</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劳动教育</w:t>
            </w:r>
            <w:r>
              <w:rPr>
                <w:rStyle w:val="6"/>
                <w:rFonts w:hint="default"/>
                <w:color w:val="auto"/>
                <w:highlight w:val="none"/>
              </w:rPr>
              <w:t>B</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ascii="宋体" w:hAnsi="宋体"/>
                <w:color w:val="auto"/>
                <w:sz w:val="20"/>
                <w:szCs w:val="20"/>
                <w:highlight w:val="none"/>
              </w:rPr>
              <w:t>b4011392</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olor w:val="auto"/>
                <w:sz w:val="20"/>
                <w:szCs w:val="20"/>
                <w:highlight w:val="none"/>
              </w:rPr>
              <w:t>电气控制与可编程控制器实践</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b4011171</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olor w:val="auto"/>
                <w:sz w:val="20"/>
                <w:szCs w:val="20"/>
                <w:highlight w:val="none"/>
              </w:rPr>
              <w:t>印制板设计与实现</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夏</w:t>
            </w:r>
            <w:r>
              <w:rPr>
                <w:rFonts w:ascii="宋体" w:hAnsi="宋体" w:cs="宋体"/>
                <w:color w:val="auto"/>
                <w:sz w:val="20"/>
                <w:szCs w:val="20"/>
                <w:highlight w:val="none"/>
              </w:rPr>
              <w:t>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Arial"/>
                <w:color w:val="auto"/>
                <w:sz w:val="20"/>
                <w:szCs w:val="20"/>
                <w:highlight w:val="none"/>
              </w:rPr>
              <w:t>b4011393</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olor w:val="auto"/>
                <w:sz w:val="20"/>
                <w:szCs w:val="20"/>
                <w:highlight w:val="none"/>
              </w:rPr>
              <w:t>测控系统设计与开发</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Arial"/>
                <w:color w:val="auto"/>
                <w:sz w:val="20"/>
                <w:szCs w:val="20"/>
                <w:highlight w:val="none"/>
              </w:rPr>
              <w:t>b4011394</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olor w:val="auto"/>
                <w:sz w:val="20"/>
                <w:szCs w:val="20"/>
                <w:highlight w:val="none"/>
              </w:rPr>
              <w:t>视觉检测与运动控制系统集成</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s="宋体"/>
                <w:color w:val="auto"/>
                <w:sz w:val="20"/>
                <w:szCs w:val="20"/>
                <w:highlight w:val="none"/>
              </w:rPr>
              <w:t>b4000004</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olor w:val="auto"/>
                <w:sz w:val="20"/>
                <w:szCs w:val="20"/>
                <w:highlight w:val="none"/>
              </w:rPr>
              <w:t>测控技术与仪器专业创新创业</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Arial"/>
                <w:color w:val="auto"/>
                <w:sz w:val="20"/>
                <w:szCs w:val="20"/>
                <w:highlight w:val="none"/>
              </w:rPr>
              <w:t>b4011358</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olor w:val="auto"/>
                <w:sz w:val="20"/>
                <w:szCs w:val="20"/>
                <w:highlight w:val="none"/>
              </w:rPr>
              <w:t>工业机器人系统集成</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Calibri"/>
                <w:color w:val="auto"/>
                <w:sz w:val="20"/>
                <w:szCs w:val="20"/>
                <w:highlight w:val="none"/>
              </w:rPr>
            </w:pPr>
            <w:r>
              <w:rPr>
                <w:rFonts w:ascii="宋体" w:hAnsi="宋体" w:cs="Calibri"/>
                <w:color w:val="auto"/>
                <w:sz w:val="20"/>
                <w:szCs w:val="20"/>
                <w:highlight w:val="none"/>
              </w:rPr>
              <w:t>b401129</w:t>
            </w:r>
            <w:r>
              <w:rPr>
                <w:rFonts w:hint="eastAsia" w:ascii="宋体" w:hAnsi="宋体" w:cs="Calibri"/>
                <w:color w:val="auto"/>
                <w:sz w:val="20"/>
                <w:szCs w:val="20"/>
                <w:highlight w:val="none"/>
              </w:rPr>
              <w:t>8</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olor w:val="auto"/>
                <w:sz w:val="20"/>
                <w:szCs w:val="20"/>
                <w:highlight w:val="none"/>
              </w:rPr>
              <w:t>测控专业综合实践</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ascii="宋体" w:hAnsi="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ascii="宋体" w:hAnsi="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522" w:hRule="exact"/>
          <w:jc w:val="center"/>
        </w:trPr>
        <w:tc>
          <w:tcPr>
            <w:tcW w:w="308" w:type="dxa"/>
            <w:vMerge w:val="continue"/>
            <w:tcBorders>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ascii="宋体" w:hAnsi="宋体"/>
                <w:color w:val="auto"/>
                <w:sz w:val="20"/>
                <w:szCs w:val="20"/>
                <w:highlight w:val="none"/>
              </w:rPr>
              <w:t>b4011251</w:t>
            </w:r>
          </w:p>
        </w:tc>
        <w:tc>
          <w:tcPr>
            <w:tcW w:w="2999"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测控技术与仪器专业毕业实习与毕业设计（论文）</w:t>
            </w:r>
          </w:p>
        </w:tc>
        <w:tc>
          <w:tcPr>
            <w:tcW w:w="40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288</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288　</w:t>
            </w:r>
          </w:p>
        </w:tc>
        <w:tc>
          <w:tcPr>
            <w:tcW w:w="65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春4</w:t>
            </w:r>
          </w:p>
        </w:tc>
      </w:tr>
      <w:tr>
        <w:tblPrEx>
          <w:shd w:val="clear" w:color="auto" w:fill="FFFFFF" w:themeFill="background1"/>
          <w:tblCellMar>
            <w:top w:w="0" w:type="dxa"/>
            <w:left w:w="0" w:type="dxa"/>
            <w:bottom w:w="0" w:type="dxa"/>
            <w:right w:w="0" w:type="dxa"/>
          </w:tblCellMar>
        </w:tblPrEx>
        <w:trPr>
          <w:trHeight w:val="333" w:hRule="exact"/>
          <w:jc w:val="center"/>
        </w:trPr>
        <w:tc>
          <w:tcPr>
            <w:tcW w:w="308" w:type="dxa"/>
            <w:tcBorders>
              <w:top w:val="single" w:color="auto" w:sz="4" w:space="0"/>
              <w:left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34" w:type="dxa"/>
            <w:tcBorders>
              <w:top w:val="nil"/>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415"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969" w:type="dxa"/>
            <w:gridSpan w:val="2"/>
            <w:tcBorders>
              <w:top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2999" w:type="dxa"/>
            <w:tcBorders>
              <w:top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b/>
                <w:color w:val="auto"/>
                <w:kern w:val="0"/>
                <w:sz w:val="20"/>
                <w:szCs w:val="20"/>
                <w:highlight w:val="none"/>
              </w:rPr>
            </w:pPr>
            <w:r>
              <w:rPr>
                <w:rFonts w:hint="eastAsia" w:ascii="宋体" w:hAnsi="宋体"/>
                <w:b/>
                <w:color w:val="auto"/>
                <w:sz w:val="20"/>
                <w:szCs w:val="20"/>
                <w:highlight w:val="none"/>
              </w:rPr>
              <w:t xml:space="preserve">小计（专业实践） </w:t>
            </w:r>
          </w:p>
        </w:tc>
        <w:tc>
          <w:tcPr>
            <w:tcW w:w="403"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w:b/>
                <w:color w:val="auto"/>
                <w:sz w:val="20"/>
                <w:szCs w:val="20"/>
                <w:highlight w:val="none"/>
              </w:rPr>
            </w:pPr>
            <w:r>
              <w:rPr>
                <w:rFonts w:ascii="宋体" w:hAnsi="宋体" w:cs="Arial"/>
                <w:b/>
                <w:color w:val="auto"/>
                <w:sz w:val="20"/>
                <w:szCs w:val="20"/>
                <w:highlight w:val="none"/>
              </w:rPr>
              <w:t>33</w:t>
            </w:r>
            <w:r>
              <w:rPr>
                <w:rFonts w:hint="eastAsia" w:ascii="宋体" w:hAnsi="宋体" w:cs="Arial"/>
                <w:b/>
                <w:color w:val="auto"/>
                <w:sz w:val="20"/>
                <w:szCs w:val="20"/>
                <w:highlight w:val="none"/>
              </w:rPr>
              <w:t>.5</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w:b/>
                <w:bCs/>
                <w:color w:val="auto"/>
                <w:sz w:val="20"/>
                <w:szCs w:val="20"/>
                <w:highlight w:val="none"/>
              </w:rPr>
            </w:pPr>
            <w:r>
              <w:rPr>
                <w:rFonts w:hint="eastAsia" w:ascii="宋体" w:hAnsi="宋体" w:cs="Arial"/>
                <w:b/>
                <w:bCs/>
                <w:color w:val="auto"/>
                <w:sz w:val="20"/>
                <w:szCs w:val="20"/>
                <w:highlight w:val="none"/>
              </w:rPr>
              <w:t>9</w:t>
            </w:r>
            <w:r>
              <w:rPr>
                <w:rFonts w:ascii="宋体" w:hAnsi="宋体" w:cs="Arial"/>
                <w:b/>
                <w:bCs/>
                <w:color w:val="auto"/>
                <w:sz w:val="20"/>
                <w:szCs w:val="20"/>
                <w:highlight w:val="none"/>
              </w:rPr>
              <w:t>52</w:t>
            </w:r>
          </w:p>
        </w:tc>
        <w:tc>
          <w:tcPr>
            <w:tcW w:w="425"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w:b/>
                <w:bCs/>
                <w:color w:val="auto"/>
                <w:sz w:val="20"/>
                <w:szCs w:val="20"/>
                <w:highlight w:val="none"/>
              </w:rPr>
            </w:pPr>
            <w:r>
              <w:rPr>
                <w:rFonts w:hint="eastAsia" w:ascii="宋体" w:hAnsi="宋体" w:cs="Arial"/>
                <w:b/>
                <w:bCs/>
                <w:color w:val="auto"/>
                <w:sz w:val="20"/>
                <w:szCs w:val="20"/>
                <w:highlight w:val="none"/>
              </w:rPr>
              <w:t>9</w:t>
            </w:r>
            <w:r>
              <w:rPr>
                <w:rFonts w:ascii="宋体" w:hAnsi="宋体" w:cs="Arial"/>
                <w:b/>
                <w:bCs/>
                <w:color w:val="auto"/>
                <w:sz w:val="20"/>
                <w:szCs w:val="20"/>
                <w:highlight w:val="none"/>
              </w:rPr>
              <w:t>52</w:t>
            </w:r>
          </w:p>
        </w:tc>
        <w:tc>
          <w:tcPr>
            <w:tcW w:w="656" w:type="dxa"/>
            <w:tcBorders>
              <w:top w:val="nil"/>
              <w:left w:val="nil"/>
              <w:bottom w:val="single" w:color="auto" w:sz="4" w:space="0"/>
              <w:right w:val="single" w:color="auto" w:sz="4" w:space="0"/>
            </w:tcBorders>
            <w:shd w:val="clear" w:color="auto" w:fill="D8D8D8" w:themeFill="background1" w:themeFillShade="D9"/>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1131" w:hRule="exact"/>
          <w:jc w:val="center"/>
        </w:trPr>
        <w:tc>
          <w:tcPr>
            <w:tcW w:w="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第二课堂</w:t>
            </w:r>
          </w:p>
        </w:tc>
        <w:tc>
          <w:tcPr>
            <w:tcW w:w="4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kern w:val="0"/>
                <w:sz w:val="20"/>
                <w:szCs w:val="20"/>
                <w:highlight w:val="none"/>
              </w:rPr>
            </w:pPr>
            <w:r>
              <w:rPr>
                <w:rFonts w:hint="eastAsia" w:ascii="宋体" w:hAnsi="宋体" w:cs="宋体"/>
                <w:bCs/>
                <w:color w:val="auto"/>
                <w:kern w:val="0"/>
                <w:sz w:val="20"/>
                <w:szCs w:val="20"/>
                <w:highlight w:val="none"/>
              </w:rPr>
              <w:t>必</w:t>
            </w: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其他</w:t>
            </w:r>
          </w:p>
        </w:tc>
        <w:tc>
          <w:tcPr>
            <w:tcW w:w="9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b5110001</w:t>
            </w:r>
          </w:p>
        </w:tc>
        <w:tc>
          <w:tcPr>
            <w:tcW w:w="29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第二课堂</w:t>
            </w:r>
          </w:p>
        </w:tc>
        <w:tc>
          <w:tcPr>
            <w:tcW w:w="4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bCs/>
                <w:color w:val="auto"/>
                <w:sz w:val="20"/>
                <w:szCs w:val="20"/>
                <w:highlight w:val="none"/>
              </w:rPr>
            </w:pPr>
            <w:r>
              <w:rPr>
                <w:rFonts w:hint="eastAsia" w:ascii="宋体" w:hAnsi="宋体"/>
                <w:b/>
                <w:bCs/>
                <w:color w:val="auto"/>
                <w:sz w:val="20"/>
                <w:szCs w:val="20"/>
                <w:highlight w:val="none"/>
              </w:rPr>
              <w:t>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Cs/>
                <w:color w:val="auto"/>
                <w:sz w:val="20"/>
                <w:szCs w:val="20"/>
                <w:highlight w:val="none"/>
              </w:rPr>
            </w:pPr>
            <w:r>
              <w:rPr>
                <w:rFonts w:hint="eastAsia" w:ascii="宋体" w:hAnsi="宋体"/>
                <w:bCs/>
                <w:color w:val="auto"/>
                <w:sz w:val="20"/>
                <w:szCs w:val="20"/>
                <w:highlight w:val="none"/>
              </w:rPr>
              <w: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Cs/>
                <w:color w:val="auto"/>
                <w:sz w:val="20"/>
                <w:szCs w:val="20"/>
                <w:highlight w:val="none"/>
              </w:rPr>
            </w:pPr>
            <w:r>
              <w:rPr>
                <w:rFonts w:hint="eastAsia" w:ascii="宋体" w:hAnsi="宋体"/>
                <w:bCs/>
                <w:color w:val="auto"/>
                <w:sz w:val="20"/>
                <w:szCs w:val="20"/>
                <w:highlight w:val="none"/>
              </w:rPr>
              <w:t>-</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Cs/>
                <w:color w:val="auto"/>
                <w:sz w:val="20"/>
                <w:szCs w:val="20"/>
                <w:highlight w:val="none"/>
              </w:rPr>
            </w:pPr>
            <w:r>
              <w:rPr>
                <w:rFonts w:hint="eastAsia" w:ascii="宋体" w:hAnsi="宋体"/>
                <w:bCs/>
                <w:color w:val="auto"/>
                <w:sz w:val="20"/>
                <w:szCs w:val="20"/>
                <w:highlight w:val="none"/>
              </w:rPr>
              <w:t>-</w:t>
            </w:r>
          </w:p>
        </w:tc>
        <w:tc>
          <w:tcPr>
            <w:tcW w:w="6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Cs/>
                <w:color w:val="auto"/>
                <w:sz w:val="20"/>
                <w:szCs w:val="20"/>
                <w:highlight w:val="none"/>
              </w:rPr>
            </w:pPr>
            <w:r>
              <w:rPr>
                <w:rFonts w:hint="eastAsia" w:ascii="宋体" w:hAnsi="宋体"/>
                <w:bCs/>
                <w:color w:val="auto"/>
                <w:sz w:val="20"/>
                <w:szCs w:val="20"/>
                <w:highlight w:val="none"/>
              </w:rPr>
              <w:t>秋，春，夏</w:t>
            </w:r>
          </w:p>
        </w:tc>
      </w:tr>
      <w:tr>
        <w:tblPrEx>
          <w:shd w:val="clear" w:color="auto" w:fill="FFFFFF" w:themeFill="background1"/>
          <w:tblCellMar>
            <w:top w:w="0" w:type="dxa"/>
            <w:left w:w="0" w:type="dxa"/>
            <w:bottom w:w="0" w:type="dxa"/>
            <w:right w:w="0" w:type="dxa"/>
          </w:tblCellMar>
        </w:tblPrEx>
        <w:trPr>
          <w:trHeight w:val="433" w:hRule="exact"/>
          <w:jc w:val="center"/>
        </w:trPr>
        <w:tc>
          <w:tcPr>
            <w:tcW w:w="5125"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总   计</w:t>
            </w:r>
          </w:p>
        </w:tc>
        <w:tc>
          <w:tcPr>
            <w:tcW w:w="40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Arial"/>
                <w:b/>
                <w:color w:val="auto"/>
                <w:sz w:val="20"/>
                <w:szCs w:val="20"/>
                <w:highlight w:val="none"/>
              </w:rPr>
            </w:pPr>
            <w:r>
              <w:rPr>
                <w:rFonts w:hint="eastAsia" w:ascii="宋体" w:hAnsi="宋体" w:cs="Arial"/>
                <w:b/>
                <w:color w:val="auto"/>
                <w:sz w:val="20"/>
                <w:szCs w:val="20"/>
                <w:highlight w:val="none"/>
              </w:rPr>
              <w:t>1</w:t>
            </w:r>
            <w:r>
              <w:rPr>
                <w:rFonts w:ascii="宋体" w:hAnsi="宋体" w:cs="Arial"/>
                <w:b/>
                <w:color w:val="auto"/>
                <w:sz w:val="20"/>
                <w:szCs w:val="20"/>
                <w:highlight w:val="none"/>
              </w:rPr>
              <w:t>66</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ascii="宋体" w:hAnsi="宋体"/>
                <w:b/>
                <w:color w:val="auto"/>
                <w:sz w:val="20"/>
                <w:szCs w:val="20"/>
                <w:highlight w:val="none"/>
              </w:rPr>
              <w:t>3192</w:t>
            </w: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
                <w:color w:val="auto"/>
                <w:sz w:val="20"/>
                <w:szCs w:val="20"/>
                <w:highlight w:val="none"/>
                <w:lang w:val="en-US" w:eastAsia="zh-CN"/>
              </w:rPr>
            </w:pPr>
            <w:r>
              <w:rPr>
                <w:rFonts w:hint="eastAsia" w:ascii="宋体" w:hAnsi="宋体" w:cs="宋体"/>
                <w:b/>
                <w:color w:val="auto"/>
                <w:sz w:val="20"/>
                <w:szCs w:val="20"/>
                <w:highlight w:val="none"/>
              </w:rPr>
              <w:t>19</w:t>
            </w:r>
            <w:r>
              <w:rPr>
                <w:rFonts w:hint="eastAsia" w:ascii="宋体" w:hAnsi="宋体" w:cs="宋体"/>
                <w:b/>
                <w:color w:val="auto"/>
                <w:sz w:val="20"/>
                <w:szCs w:val="20"/>
                <w:highlight w:val="none"/>
                <w:lang w:val="en-US" w:eastAsia="zh-CN"/>
              </w:rPr>
              <w:t>30</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lang w:eastAsia="zh-CN"/>
              </w:rPr>
            </w:pPr>
            <w:r>
              <w:rPr>
                <w:rFonts w:hint="eastAsia" w:ascii="宋体" w:hAnsi="宋体" w:cs="宋体"/>
                <w:b/>
                <w:color w:val="auto"/>
                <w:sz w:val="20"/>
                <w:szCs w:val="20"/>
                <w:highlight w:val="none"/>
              </w:rPr>
              <w:t>12</w:t>
            </w:r>
            <w:r>
              <w:rPr>
                <w:rFonts w:ascii="宋体" w:hAnsi="宋体" w:cs="宋体"/>
                <w:b/>
                <w:color w:val="auto"/>
                <w:sz w:val="20"/>
                <w:szCs w:val="20"/>
                <w:highlight w:val="none"/>
              </w:rPr>
              <w:t>6</w:t>
            </w:r>
            <w:r>
              <w:rPr>
                <w:rFonts w:hint="eastAsia" w:ascii="宋体" w:hAnsi="宋体" w:cs="宋体"/>
                <w:b/>
                <w:color w:val="auto"/>
                <w:sz w:val="20"/>
                <w:szCs w:val="20"/>
                <w:highlight w:val="none"/>
                <w:lang w:val="en-US" w:eastAsia="zh-CN"/>
              </w:rPr>
              <w:t>2</w:t>
            </w:r>
          </w:p>
        </w:tc>
        <w:tc>
          <w:tcPr>
            <w:tcW w:w="65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highlight w:val="none"/>
              </w:rPr>
            </w:pPr>
          </w:p>
        </w:tc>
      </w:tr>
    </w:tbl>
    <w:p>
      <w:pPr>
        <w:adjustRightInd w:val="0"/>
        <w:snapToGrid w:val="0"/>
        <w:spacing w:line="360" w:lineRule="auto"/>
        <w:rPr>
          <w:rFonts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r>
        <w:rPr>
          <w:rFonts w:hint="eastAsia" w:ascii="黑体" w:hAnsi="宋体" w:eastAsia="黑体"/>
          <w:b/>
          <w:color w:val="auto"/>
          <w:szCs w:val="21"/>
          <w:highlight w:val="none"/>
        </w:rPr>
        <w:t>十，第二课堂学分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通过开展第二课堂活动1学分，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rPr>
          <w:rFonts w:ascii="黑体" w:hAnsi="黑体" w:eastAsia="黑体" w:cs="黑体"/>
          <w:b/>
          <w:szCs w:val="21"/>
        </w:rPr>
      </w:pPr>
      <w:r>
        <w:rPr>
          <w:rFonts w:hint="eastAsia" w:ascii="黑体" w:hAnsi="黑体" w:eastAsia="黑体" w:cs="黑体"/>
          <w:b/>
          <w:szCs w:val="21"/>
        </w:rPr>
        <w:t>附录一：毕业要求对培养目标的支撑关系矩阵（√）</w:t>
      </w:r>
    </w:p>
    <w:tbl>
      <w:tblPr>
        <w:tblStyle w:val="3"/>
        <w:tblW w:w="7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83" w:type="dxa"/>
            <w:tcBorders>
              <w:bottom w:val="single" w:color="000000" w:sz="4" w:space="0"/>
              <w:tl2br w:val="single" w:color="auto" w:sz="4" w:space="0"/>
            </w:tcBorders>
            <w:vAlign w:val="center"/>
          </w:tcPr>
          <w:p>
            <w:pPr>
              <w:adjustRightInd w:val="0"/>
              <w:jc w:val="right"/>
              <w:rPr>
                <w:rFonts w:ascii="宋体" w:hAnsi="宋体" w:cs="宋体"/>
                <w:b/>
                <w:bCs/>
                <w:sz w:val="20"/>
                <w:szCs w:val="20"/>
              </w:rPr>
            </w:pPr>
            <w:r>
              <w:rPr>
                <w:rFonts w:hint="eastAsia" w:ascii="宋体" w:hAnsi="宋体" w:cs="宋体"/>
                <w:b/>
                <w:bCs/>
                <w:sz w:val="20"/>
                <w:szCs w:val="20"/>
              </w:rPr>
              <w:t>培养目标</w:t>
            </w:r>
          </w:p>
          <w:p>
            <w:pPr>
              <w:adjustRightInd w:val="0"/>
              <w:jc w:val="left"/>
              <w:rPr>
                <w:rFonts w:ascii="宋体" w:hAnsi="宋体" w:cs="宋体"/>
                <w:b/>
                <w:bCs/>
                <w:sz w:val="20"/>
                <w:szCs w:val="20"/>
              </w:rPr>
            </w:pPr>
            <w:r>
              <w:rPr>
                <w:rFonts w:hint="eastAsia" w:ascii="宋体" w:hAnsi="宋体" w:cs="宋体"/>
                <w:b/>
                <w:bCs/>
                <w:sz w:val="20"/>
                <w:szCs w:val="20"/>
              </w:rPr>
              <w:t>毕业要求</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培养目标1</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培养目标2</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培养目标3</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83" w:type="dxa"/>
            <w:tcBorders>
              <w:top w:val="single" w:color="000000" w:sz="4" w:space="0"/>
            </w:tcBorders>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毕业要求2</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毕业要求3</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毕业要求4</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毕业要求5</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毕业要求6</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毕业要求7</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毕业要求8</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毕业要求9</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毕业要求10</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毕业要求11</w:t>
            </w: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毕业要求12</w:t>
            </w: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p>
        </w:tc>
        <w:tc>
          <w:tcPr>
            <w:tcW w:w="1381" w:type="dxa"/>
            <w:vAlign w:val="center"/>
          </w:tcPr>
          <w:p>
            <w:pPr>
              <w:snapToGrid w:val="0"/>
              <w:jc w:val="center"/>
              <w:rPr>
                <w:rFonts w:hint="eastAsia" w:ascii="黑体" w:hAnsi="黑体" w:eastAsia="黑体" w:cs="黑体"/>
                <w:b w:val="0"/>
                <w:bCs/>
                <w:sz w:val="20"/>
                <w:szCs w:val="20"/>
              </w:rPr>
            </w:pPr>
            <w:r>
              <w:rPr>
                <w:rFonts w:hint="eastAsia" w:ascii="黑体" w:hAnsi="黑体" w:eastAsia="黑体" w:cs="黑体"/>
                <w:b w:val="0"/>
                <w:bCs/>
                <w:sz w:val="20"/>
                <w:szCs w:val="20"/>
              </w:rPr>
              <w:t>√</w:t>
            </w:r>
          </w:p>
        </w:tc>
      </w:tr>
    </w:tbl>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r>
        <w:rPr>
          <w:rFonts w:hint="eastAsia" w:ascii="黑体" w:hAnsi="宋体" w:eastAsia="黑体"/>
          <w:b/>
          <w:szCs w:val="21"/>
        </w:rPr>
        <w:t>附录二：课程对毕业要求的支撑关系矩阵（H/M/L）</w:t>
      </w:r>
    </w:p>
    <w:tbl>
      <w:tblPr>
        <w:tblStyle w:val="3"/>
        <w:tblW w:w="8912" w:type="dxa"/>
        <w:jc w:val="center"/>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shd w:val="clear" w:color="auto" w:fill="FFFFFF" w:themeFill="background1"/>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           毕业要求</w:t>
            </w:r>
          </w:p>
          <w:p>
            <w:pPr>
              <w:adjustRightInd w:val="0"/>
              <w:snapToGrid w:val="0"/>
              <w:jc w:val="center"/>
              <w:rPr>
                <w:rFonts w:hint="eastAsia" w:ascii="宋体" w:hAnsi="宋体" w:eastAsia="宋体" w:cs="宋体"/>
                <w:b/>
                <w:bCs/>
                <w:color w:val="000000"/>
                <w:sz w:val="20"/>
                <w:szCs w:val="20"/>
              </w:rPr>
            </w:pPr>
          </w:p>
          <w:p>
            <w:pPr>
              <w:adjustRightInd w:val="0"/>
              <w:snapToGrid w:val="0"/>
              <w:ind w:firstLine="402" w:firstLineChars="200"/>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毕业要求12</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567"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53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sz w:val="20"/>
                <w:szCs w:val="20"/>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复变函数与积分变换</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lang w:val="en-US" w:eastAsia="zh-CN"/>
              </w:rPr>
            </w:pPr>
            <w:r>
              <w:rPr>
                <w:rFonts w:hint="eastAsia" w:ascii="宋体" w:hAnsi="宋体" w:eastAsia="宋体" w:cs="宋体"/>
                <w:sz w:val="20"/>
                <w:szCs w:val="20"/>
              </w:rPr>
              <w:t>大学物理A</w:t>
            </w:r>
            <w:r>
              <w:rPr>
                <w:rFonts w:hint="eastAsia" w:ascii="宋体" w:hAnsi="宋体" w:eastAsia="宋体" w:cs="宋体"/>
                <w:sz w:val="20"/>
                <w:szCs w:val="20"/>
                <w:lang w:val="en-US" w:eastAsia="zh-CN"/>
              </w:rPr>
              <w:t>/B</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基础工程训练B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程序设计基础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现代工程制图</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电路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工程力学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模拟电子技术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数字电子技术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bookmarkStart w:id="0" w:name="_GoBack"/>
            <w:bookmarkEnd w:id="0"/>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工程光学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测控技术与仪器专业导论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单片机技术基础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信号与系统</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精密机械基础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科技论文写作与文献检索</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自动控制原理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传感器原理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测控总线与仪器通信技术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虚拟仪器技术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智能仪器技术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H</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PLC原理及应用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数字图像处理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运动控制系统</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误差理论与数据处理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光电传感与检测</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工业自动化与机器人技术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项目管理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测控系统认知实践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电子技术实践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计算机辅助设计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数据采集系统设计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电子电路设计与仿真</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单片机设计与应用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嵌入式系统设计与应用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虚拟仪器设计与开发</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劳动教育</w:t>
            </w:r>
            <w:r>
              <w:rPr>
                <w:rStyle w:val="6"/>
                <w:rFonts w:hint="eastAsia" w:ascii="宋体" w:hAnsi="宋体" w:eastAsia="宋体" w:cs="宋体"/>
                <w:color w:val="auto"/>
                <w:highlight w:val="none"/>
              </w:rPr>
              <w:t>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电气控制与可编程控制器实践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印制板设计与实现</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测控系统设计与开发</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视觉检测与运动控制系统集成</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测控技术与仪器专业创新创业</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工业机器人系统集成</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测控专业综合实践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r>
      <w:tr>
        <w:tblPrEx>
          <w:shd w:val="clear" w:color="auto" w:fill="FFFFFF" w:themeFill="background1"/>
          <w:tblCellMar>
            <w:top w:w="0" w:type="dxa"/>
            <w:left w:w="108" w:type="dxa"/>
            <w:bottom w:w="0" w:type="dxa"/>
            <w:right w:w="108" w:type="dxa"/>
          </w:tblCellMar>
        </w:tblPrEx>
        <w:trPr>
          <w:trHeight w:val="515"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62</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测控技术与仪器专业毕业实习与毕业设计（论文）</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M</w:t>
            </w:r>
          </w:p>
        </w:tc>
      </w:tr>
    </w:tbl>
    <w:p>
      <w:pPr>
        <w:rPr>
          <w:rFonts w:ascii="宋体" w:hAnsi="宋体" w:cs="宋体"/>
          <w:b/>
          <w:bCs/>
          <w:color w:val="0000FF"/>
          <w:szCs w:val="21"/>
        </w:rPr>
      </w:pPr>
    </w:p>
    <w:p>
      <w:pPr>
        <w:rPr>
          <w:rFonts w:ascii="宋体" w:hAnsi="宋体" w:cs="宋体"/>
          <w:b/>
          <w:bCs/>
          <w:szCs w:val="21"/>
        </w:rPr>
      </w:pPr>
      <w:r>
        <w:rPr>
          <w:rFonts w:hint="eastAsia" w:ascii="宋体" w:hAnsi="宋体" w:cs="宋体"/>
          <w:b/>
          <w:bCs/>
          <w:szCs w:val="21"/>
        </w:rPr>
        <w:t>备注：</w:t>
      </w:r>
    </w:p>
    <w:p>
      <w:pPr>
        <w:ind w:firstLine="420" w:firstLineChars="200"/>
        <w:rPr>
          <w:rFonts w:ascii="宋体" w:hAnsi="宋体" w:cs="宋体"/>
          <w:szCs w:val="21"/>
        </w:rPr>
      </w:pPr>
      <w:r>
        <w:rPr>
          <w:rFonts w:hint="eastAsia" w:ascii="宋体" w:hAnsi="宋体" w:cs="宋体"/>
          <w:szCs w:val="21"/>
        </w:rPr>
        <w:t>课程对毕业要求的支撑强度分别用“H/高、M/中、L/弱”表示；</w:t>
      </w:r>
    </w:p>
    <w:p>
      <w:pPr>
        <w:ind w:left="2" w:leftChars="1" w:firstLine="420" w:firstLineChars="200"/>
        <w:rPr>
          <w:rFonts w:hint="eastAsia" w:ascii="宋体" w:hAnsi="宋体"/>
          <w:color w:val="auto"/>
          <w:szCs w:val="21"/>
          <w:highlight w:val="none"/>
        </w:rPr>
      </w:pPr>
      <w:r>
        <w:rPr>
          <w:rFonts w:hint="eastAsia" w:ascii="宋体" w:hAnsi="宋体" w:cs="宋体"/>
          <w:szCs w:val="21"/>
        </w:rPr>
        <w:t>支撑强度的含义是：该课程覆盖毕业要求指标点的多寡，H至少覆盖80%，M至少覆盖50%，L至少覆盖30%。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2A2131D6"/>
    <w:rsid w:val="256A71B1"/>
    <w:rsid w:val="2A213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napToGrid w:val="0"/>
      <w:ind w:left="1319" w:leftChars="628" w:firstLine="480" w:firstLineChars="200"/>
      <w:jc w:val="left"/>
    </w:pPr>
    <w:rPr>
      <w:rFonts w:ascii="Times New Roman" w:hAnsi="Times New Roman"/>
      <w:sz w:val="24"/>
      <w:szCs w:val="24"/>
    </w:rPr>
  </w:style>
  <w:style w:type="paragraph" w:styleId="5">
    <w:name w:val="List Paragraph"/>
    <w:basedOn w:val="1"/>
    <w:qFormat/>
    <w:uiPriority w:val="34"/>
    <w:pPr>
      <w:ind w:firstLine="420" w:firstLineChars="200"/>
    </w:pPr>
  </w:style>
  <w:style w:type="character" w:customStyle="1" w:styleId="6">
    <w:name w:val="font51"/>
    <w:basedOn w:val="4"/>
    <w:qFormat/>
    <w:uiPriority w:val="0"/>
    <w:rPr>
      <w:rFonts w:hint="eastAsia" w:ascii="宋体" w:hAnsi="宋体" w:eastAsia="宋体"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6445</Words>
  <Characters>7647</Characters>
  <Lines>0</Lines>
  <Paragraphs>0</Paragraphs>
  <TotalTime>1</TotalTime>
  <ScaleCrop>false</ScaleCrop>
  <LinksUpToDate>false</LinksUpToDate>
  <CharactersWithSpaces>7785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2023-09-04T01:27:00Z</dcterms:created>
  <dc:creator>WPS_1635491849</dc:creator>
  <cp:lastModifiedBy>WPS_1635491849</cp:lastModifiedBy>
  <dcterms:modified xsi:type="dcterms:W3CDTF">2023-09-07T06:52:19Z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34F1E13184AD418380563B8DB9EAF524_11</vt:lpwstr>
  </property>
</Properties>
</file>