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default" w:ascii="Times New Roman" w:hAnsi="Times New Roman" w:eastAsia="黑体" w:cs="Times New Roman"/>
          <w:b/>
          <w:color w:val="auto"/>
          <w:sz w:val="28"/>
          <w:szCs w:val="28"/>
          <w:highlight w:val="none"/>
        </w:rPr>
      </w:pPr>
      <w:r>
        <w:rPr>
          <w:rFonts w:hint="default" w:ascii="Times New Roman" w:hAnsi="Times New Roman" w:eastAsia="黑体" w:cs="Times New Roman"/>
          <w:b/>
          <w:color w:val="auto"/>
          <w:sz w:val="28"/>
          <w:szCs w:val="28"/>
          <w:highlight w:val="none"/>
        </w:rPr>
        <w:t>测控技术与仪器专业指导性培养计划</w:t>
      </w:r>
    </w:p>
    <w:p>
      <w:pPr>
        <w:adjustRightInd w:val="0"/>
        <w:snapToGrid w:val="0"/>
        <w:spacing w:line="360" w:lineRule="auto"/>
        <w:jc w:val="center"/>
        <w:outlineLvl w:val="0"/>
        <w:rPr>
          <w:rFonts w:hint="default" w:ascii="Times New Roman" w:hAnsi="Times New Roman" w:eastAsia="黑体" w:cs="Times New Roman"/>
          <w:b/>
          <w:bCs/>
          <w:color w:val="auto"/>
          <w:szCs w:val="21"/>
          <w:highlight w:val="none"/>
        </w:rPr>
      </w:pPr>
      <w:r>
        <w:rPr>
          <w:rFonts w:hint="default" w:ascii="Times New Roman" w:hAnsi="Times New Roman" w:eastAsia="黑体" w:cs="Times New Roman"/>
          <w:b/>
          <w:bCs/>
          <w:color w:val="auto"/>
          <w:szCs w:val="21"/>
          <w:highlight w:val="none"/>
        </w:rPr>
        <w:t>（2024级）</w:t>
      </w:r>
    </w:p>
    <w:p>
      <w:pPr>
        <w:keepNext w:val="0"/>
        <w:keepLines w:val="0"/>
        <w:pageBreakBefore w:val="0"/>
        <w:kinsoku/>
        <w:wordWrap/>
        <w:overflowPunct/>
        <w:topLinePunct w:val="0"/>
        <w:autoSpaceDE/>
        <w:autoSpaceDN/>
        <w:bidi w:val="0"/>
        <w:adjustRightInd w:val="0"/>
        <w:snapToGrid w:val="0"/>
        <w:spacing w:line="360" w:lineRule="auto"/>
        <w:textAlignment w:val="auto"/>
        <w:outlineLvl w:val="0"/>
        <w:rPr>
          <w:rFonts w:hint="default" w:ascii="Times New Roman" w:hAnsi="Times New Roman" w:eastAsia="黑体" w:cs="Times New Roman"/>
          <w:b/>
          <w:bCs/>
          <w:color w:val="auto"/>
          <w:szCs w:val="21"/>
          <w:highlight w:val="none"/>
        </w:rPr>
      </w:pPr>
      <w:r>
        <w:rPr>
          <w:rFonts w:hint="default" w:ascii="Times New Roman" w:hAnsi="Times New Roman" w:eastAsia="黑体" w:cs="Times New Roman"/>
          <w:b/>
          <w:bCs/>
          <w:color w:val="auto"/>
          <w:szCs w:val="21"/>
          <w:highlight w:val="none"/>
        </w:rPr>
        <w:t>专业代码：080301</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0"/>
        <w:rPr>
          <w:rFonts w:hint="default" w:ascii="Times New Roman" w:hAnsi="Times New Roman" w:eastAsia="黑体" w:cs="Times New Roman"/>
          <w:b/>
          <w:bCs/>
          <w:color w:val="auto"/>
          <w:szCs w:val="21"/>
          <w:highlight w:val="none"/>
        </w:rPr>
      </w:pPr>
      <w:r>
        <w:rPr>
          <w:rFonts w:hint="default" w:ascii="Times New Roman" w:hAnsi="Times New Roman" w:eastAsia="黑体" w:cs="Times New Roman"/>
          <w:b/>
          <w:bCs/>
          <w:color w:val="auto"/>
          <w:szCs w:val="21"/>
          <w:highlight w:val="none"/>
        </w:rPr>
        <w:t xml:space="preserve">执笔：秦琴    </w:t>
      </w:r>
      <w:r>
        <w:rPr>
          <w:rFonts w:hint="default" w:ascii="Times New Roman" w:hAnsi="Times New Roman" w:eastAsia="黑体" w:cs="Times New Roman"/>
          <w:b/>
          <w:bCs/>
          <w:color w:val="auto"/>
          <w:szCs w:val="21"/>
          <w:highlight w:val="none"/>
          <w:lang w:val="en-US" w:eastAsia="zh-CN"/>
        </w:rPr>
        <w:t xml:space="preserve">     </w:t>
      </w:r>
      <w:r>
        <w:rPr>
          <w:rFonts w:hint="default" w:ascii="Times New Roman" w:hAnsi="Times New Roman" w:eastAsia="黑体" w:cs="Times New Roman"/>
          <w:b/>
          <w:bCs/>
          <w:color w:val="auto"/>
          <w:szCs w:val="21"/>
          <w:highlight w:val="none"/>
        </w:rPr>
        <w:t xml:space="preserve"> 审核：孙自强  汪志锋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黑体" w:cs="Times New Roman"/>
          <w:b/>
          <w:color w:val="auto"/>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 xml:space="preserve">一，培养目标 </w:t>
      </w:r>
    </w:p>
    <w:p>
      <w:pPr>
        <w:keepNext w:val="0"/>
        <w:keepLines w:val="0"/>
        <w:pageBreakBefore w:val="0"/>
        <w:tabs>
          <w:tab w:val="left" w:pos="4834"/>
        </w:tabs>
        <w:kinsoku/>
        <w:wordWrap/>
        <w:overflowPunct/>
        <w:topLinePunct w:val="0"/>
        <w:autoSpaceDE/>
        <w:autoSpaceDN/>
        <w:bidi w:val="0"/>
        <w:adjustRightInd w:val="0"/>
        <w:snapToGrid w:val="0"/>
        <w:spacing w:line="360" w:lineRule="auto"/>
        <w:ind w:firstLine="210" w:firstLineChars="1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1．培养总目标</w:t>
      </w:r>
    </w:p>
    <w:p>
      <w:pPr>
        <w:keepNext w:val="0"/>
        <w:keepLines w:val="0"/>
        <w:pageBreakBefore w:val="0"/>
        <w:tabs>
          <w:tab w:val="left" w:pos="4834"/>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本专业适应国家经济与科技发展需求，培养基础理论扎实、专业知识面广、实践能力强、具有现代科学创新精神和国际视野，能够在智能制造相关工业领域从事现代仪器与检测设备的研究、开发、工程设计、技术管理与服务等工作，德、智、体、美、劳全面发展的高级应用型工程技术人才。</w:t>
      </w:r>
    </w:p>
    <w:p>
      <w:pPr>
        <w:keepNext w:val="0"/>
        <w:keepLines w:val="0"/>
        <w:pageBreakBefore w:val="0"/>
        <w:tabs>
          <w:tab w:val="left" w:pos="4834"/>
        </w:tabs>
        <w:kinsoku/>
        <w:wordWrap/>
        <w:overflowPunct/>
        <w:topLinePunct w:val="0"/>
        <w:autoSpaceDE/>
        <w:autoSpaceDN/>
        <w:bidi w:val="0"/>
        <w:adjustRightInd w:val="0"/>
        <w:snapToGrid w:val="0"/>
        <w:spacing w:line="360" w:lineRule="auto"/>
        <w:ind w:firstLine="105" w:firstLineChars="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2．价值引领目标</w:t>
      </w:r>
    </w:p>
    <w:p>
      <w:pPr>
        <w:pStyle w:val="8"/>
        <w:keepNext w:val="0"/>
        <w:keepLines w:val="0"/>
        <w:pageBreakBefore w:val="0"/>
        <w:tabs>
          <w:tab w:val="left" w:pos="4834"/>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以培养适应社会发展的应用型工程技术人才为目标，以工匠精神为价值取向，以校企合作、课程教学为载体，培养学生严谨细致、专注负责、精益求精的职业精神，提升学生的自主学习能力、团队合作能力、创新能力和社会适应能力。</w:t>
      </w:r>
    </w:p>
    <w:p>
      <w:pPr>
        <w:keepNext w:val="0"/>
        <w:keepLines w:val="0"/>
        <w:pageBreakBefore w:val="0"/>
        <w:tabs>
          <w:tab w:val="left" w:pos="4834"/>
        </w:tabs>
        <w:kinsoku/>
        <w:wordWrap/>
        <w:overflowPunct/>
        <w:topLinePunct w:val="0"/>
        <w:autoSpaceDE/>
        <w:autoSpaceDN/>
        <w:bidi w:val="0"/>
        <w:adjustRightInd w:val="0"/>
        <w:snapToGrid w:val="0"/>
        <w:spacing w:line="360" w:lineRule="auto"/>
        <w:ind w:firstLine="210" w:firstLineChars="1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 学生毕业五年后须达到的目标</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 掌握扎实的工程基础和测控专业知识，能够综合应用测控专业知识和现代工具从事复杂测控相关产品的设计、开发和生产和调试，并同时考虑社会、环境因素及相关政策法规；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2）具有与行业内外有效沟通、组织管理、团结写作和决策能力；</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3）具有社会责任感，坚守职业道德规范、工程伦理和行业行为规范；</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4）掌握行业现状和发展趋势，具有创新意识、自主学习和终身学习的能力。</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二，毕业要求</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1.工程知识。</w:t>
      </w:r>
      <w:r>
        <w:rPr>
          <w:rFonts w:hint="default" w:ascii="Times New Roman" w:hAnsi="Times New Roman" w:cs="Times New Roman"/>
          <w:color w:val="auto"/>
          <w:szCs w:val="21"/>
          <w:highlight w:val="none"/>
        </w:rPr>
        <w:t>具有从事测控工程领域所需的数学、自然科学、工程基础和专业知识，并能够综合应用这些知识解决测控及仪器相关领域的复杂工程问题；</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指标点1-1：掌握数学、自然科学知识和</w:t>
      </w:r>
      <w:r>
        <w:rPr>
          <w:rFonts w:hint="default" w:ascii="Times New Roman" w:hAnsi="Times New Roman" w:cs="Times New Roman"/>
          <w:color w:val="auto"/>
          <w:highlight w:val="none"/>
        </w:rPr>
        <w:t>工程基础知识</w:t>
      </w: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能够用于工程问题的识别表述；</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指标点1-2：能够应用数学、自然科学知识和</w:t>
      </w:r>
      <w:r>
        <w:rPr>
          <w:rFonts w:hint="default" w:ascii="Times New Roman" w:hAnsi="Times New Roman" w:cs="Times New Roman"/>
          <w:color w:val="auto"/>
          <w:highlight w:val="none"/>
        </w:rPr>
        <w:t>工程基础知识，</w:t>
      </w:r>
      <w:r>
        <w:rPr>
          <w:rFonts w:hint="default" w:ascii="Times New Roman" w:hAnsi="Times New Roman" w:cs="Times New Roman"/>
          <w:color w:val="auto"/>
          <w:szCs w:val="21"/>
          <w:highlight w:val="none"/>
        </w:rPr>
        <w:t>针对测控及仪器相关领域的</w:t>
      </w:r>
      <w:r>
        <w:rPr>
          <w:rFonts w:hint="default" w:ascii="Times New Roman" w:hAnsi="Times New Roman" w:cs="Times New Roman"/>
          <w:color w:val="auto"/>
          <w:highlight w:val="none"/>
        </w:rPr>
        <w:t>工程问题，进行</w:t>
      </w:r>
      <w:r>
        <w:rPr>
          <w:rFonts w:hint="default" w:ascii="Times New Roman" w:hAnsi="Times New Roman" w:cs="Times New Roman"/>
          <w:color w:val="auto"/>
          <w:szCs w:val="21"/>
          <w:highlight w:val="none"/>
        </w:rPr>
        <w:t>理论分析与模型求解。</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指标点1-3：</w:t>
      </w:r>
      <w:r>
        <w:rPr>
          <w:rFonts w:hint="default" w:ascii="Times New Roman" w:hAnsi="Times New Roman" w:cs="Times New Roman"/>
          <w:color w:val="auto"/>
          <w:highlight w:val="none"/>
        </w:rPr>
        <w:t>掌握测控技术与仪器专业技术知识，</w:t>
      </w:r>
      <w:r>
        <w:rPr>
          <w:rFonts w:hint="default" w:ascii="Times New Roman" w:hAnsi="Times New Roman" w:cs="Times New Roman"/>
          <w:color w:val="auto"/>
          <w:szCs w:val="21"/>
          <w:highlight w:val="none"/>
        </w:rPr>
        <w:t>能够综合运用专业知识，针对测控及仪器相关领域的复杂工程问题进行</w:t>
      </w:r>
      <w:r>
        <w:rPr>
          <w:rFonts w:hint="default" w:ascii="Times New Roman" w:hAnsi="Times New Roman" w:cs="Times New Roman"/>
          <w:color w:val="auto"/>
          <w:spacing w:val="-2"/>
          <w:szCs w:val="21"/>
          <w:highlight w:val="none"/>
        </w:rPr>
        <w:t>推演、分析和方案比较。</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2.问题分析。</w:t>
      </w:r>
      <w:r>
        <w:rPr>
          <w:rFonts w:hint="default" w:ascii="Times New Roman" w:hAnsi="Times New Roman" w:cs="Times New Roman"/>
          <w:color w:val="auto"/>
          <w:szCs w:val="21"/>
          <w:highlight w:val="none"/>
        </w:rPr>
        <w:t>能够运用数学、自然科学和工程科学的基本原理，</w:t>
      </w:r>
      <w:r>
        <w:rPr>
          <w:rFonts w:hint="default" w:ascii="Times New Roman" w:hAnsi="Times New Roman" w:cs="Times New Roman"/>
          <w:bCs/>
          <w:color w:val="auto"/>
          <w:szCs w:val="21"/>
          <w:highlight w:val="none"/>
        </w:rPr>
        <w:t>识别、表达、并通过文献研究分析</w:t>
      </w:r>
      <w:r>
        <w:rPr>
          <w:rFonts w:hint="default" w:ascii="Times New Roman" w:hAnsi="Times New Roman" w:cs="Times New Roman"/>
          <w:color w:val="auto"/>
          <w:szCs w:val="21"/>
          <w:highlight w:val="none"/>
        </w:rPr>
        <w:t>测控及仪器相关领域的复杂工程问题，以获得有效结论；</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指标点2-1：能够运用数学、自然科学和工程科学的基本原理，识别和判断工程问题的关键环节。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指标点2-2：能够应用专业基础知识，正确表述工程问题，并分析对象特性。</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指标点2-3：能够综合运用专业知识，借助文献研究，分析工程问题的影响因素，寻求解决问题的多种途径，并获得有效结论。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3.设计/开发解决方案。</w:t>
      </w:r>
      <w:r>
        <w:rPr>
          <w:rFonts w:hint="default" w:ascii="Times New Roman" w:hAnsi="Times New Roman" w:cs="Times New Roman"/>
          <w:color w:val="auto"/>
          <w:szCs w:val="21"/>
          <w:highlight w:val="none"/>
        </w:rPr>
        <w:t>能够设计测控及仪器相关领域的复杂工程问题的解决方案，并能够在设计环节中体现创新意识，同时考虑社会、健康、安全、法律、文化以及环境等因素；</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指标点3-1：能够运用相关专业知识，设计和开发简单工程问题的解决方案，了解影响设计目标和技术方案的各种因素。</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指标点3-2：掌握测控工程设计和产品开发全周期、全流程的基本设计（开发）方法和技术，并应用于设计复杂工程问题的解决方案，体现创新意识。</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指标点3-3：能够在设计环节考虑社会、健康、安全、法律、文化以及环境等因素，并评价解决方案的可行性。</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Cs/>
          <w:color w:val="auto"/>
          <w:szCs w:val="21"/>
          <w:highlight w:val="none"/>
        </w:rPr>
      </w:pPr>
      <w:r>
        <w:rPr>
          <w:rFonts w:hint="default" w:ascii="Times New Roman" w:hAnsi="Times New Roman" w:cs="Times New Roman"/>
          <w:b/>
          <w:color w:val="auto"/>
          <w:szCs w:val="21"/>
          <w:highlight w:val="none"/>
        </w:rPr>
        <w:t>4.研究。</w:t>
      </w:r>
      <w:r>
        <w:rPr>
          <w:rFonts w:hint="default" w:ascii="Times New Roman" w:hAnsi="Times New Roman" w:cs="Times New Roman"/>
          <w:bCs/>
          <w:color w:val="auto"/>
          <w:szCs w:val="21"/>
          <w:highlight w:val="none"/>
        </w:rPr>
        <w:t>能够基于科学原理并采用科学方法对测控及仪器相关领域的复杂工程问题进行研究，包括设计实验、分析与解释数据、并通过信息综合得到合理有效的结论。</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指标点4-1：能够基于科学原理，通过文献研究与相关方法，对测控及仪器相关领域中复杂工程问题，进行调研与分析。</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指标点4-2：能够基于专业理论和对象特征，选择研究路线、设计仿真或实验方案，并构建实验系统，安全开展实验。</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指标点4-3：能够根据测控及仪器相关领域工程任务需要，对数据信息进行分析和解释，通过信息综合得到合理有效的结论。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0"/>
          <w:szCs w:val="20"/>
          <w:highlight w:val="none"/>
        </w:rPr>
      </w:pPr>
      <w:r>
        <w:rPr>
          <w:rFonts w:hint="default" w:ascii="Times New Roman" w:hAnsi="Times New Roman" w:cs="Times New Roman"/>
          <w:b/>
          <w:color w:val="auto"/>
          <w:szCs w:val="21"/>
          <w:highlight w:val="none"/>
        </w:rPr>
        <w:t>5.使用现代工具。</w:t>
      </w:r>
      <w:r>
        <w:rPr>
          <w:rFonts w:hint="default" w:ascii="Times New Roman" w:hAnsi="Times New Roman" w:cs="Times New Roman"/>
          <w:color w:val="auto"/>
          <w:kern w:val="0"/>
          <w:szCs w:val="21"/>
          <w:highlight w:val="none"/>
        </w:rPr>
        <w:t>能够针对</w:t>
      </w:r>
      <w:r>
        <w:rPr>
          <w:rFonts w:hint="default" w:ascii="Times New Roman" w:hAnsi="Times New Roman" w:cs="Times New Roman"/>
          <w:color w:val="auto"/>
          <w:szCs w:val="21"/>
          <w:highlight w:val="none"/>
        </w:rPr>
        <w:t>测控及仪器相关领域</w:t>
      </w:r>
      <w:r>
        <w:rPr>
          <w:rFonts w:hint="default" w:ascii="Times New Roman" w:hAnsi="Times New Roman" w:cs="Times New Roman"/>
          <w:color w:val="auto"/>
          <w:kern w:val="0"/>
          <w:szCs w:val="21"/>
          <w:highlight w:val="none"/>
        </w:rPr>
        <w:t>中的复杂工程问题，了解、选择与使用或者开发恰当的技术、资源、现代工程工具和信息技术工具，包括对复杂工程问题进行模拟与预测，并能理解其局限性。</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指标点5-1：能够通过网络等信息技术工具和途径查询、检索测控专业文献及资料。</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指标点5-2：能够对比和选择测控及仪器相关领域常用的仪器、信息技术工具、现代工程工具和模拟软件，理解各自的特点及局限性。</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指标点5-3：能够使用恰当的技术，选择合适的现代工程工具软件，针对测控领域复杂工程问题，完成测量和控制系统的设计</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仿真</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模拟分析，并能够理解其局限性。</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6.工程与社会。</w:t>
      </w:r>
      <w:r>
        <w:rPr>
          <w:rFonts w:hint="default" w:ascii="Times New Roman" w:hAnsi="Times New Roman" w:cs="Times New Roman"/>
          <w:color w:val="auto"/>
          <w:szCs w:val="21"/>
          <w:highlight w:val="none"/>
        </w:rPr>
        <w:t>能够基于测控及仪器相关领域背景知识进行合理分析，评价专业工程实践和复杂工程问题解决方案对社会、健康、安全、法律以及文化的影响，并理解应承担的责任；</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指标点6-1：了解测控及仪器相关领域的技术标准体系、知识产权、产业政策和法律法规，理解不同社会文化对工程活动的影响；</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指标点6-2：能够客观分析和评价测控专业工程实践和解决方案对社会、健康、安全、法律以及文化的影响，并理解应承担的责任。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7.环境和可持续发展。</w:t>
      </w:r>
      <w:r>
        <w:rPr>
          <w:rFonts w:hint="default" w:ascii="Times New Roman" w:hAnsi="Times New Roman" w:cs="Times New Roman"/>
          <w:color w:val="auto"/>
          <w:szCs w:val="21"/>
          <w:highlight w:val="none"/>
        </w:rPr>
        <w:t>能够理解和评价针对测控及仪器相关领域复杂工程问题的专业工程实践对环境、社会可持续发展的影响；</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eastAsiaTheme="minorEastAsia"/>
          <w:color w:val="auto"/>
          <w:spacing w:val="-2"/>
          <w:szCs w:val="21"/>
          <w:highlight w:val="none"/>
        </w:rPr>
      </w:pPr>
      <w:r>
        <w:rPr>
          <w:rFonts w:hint="default" w:ascii="Times New Roman" w:hAnsi="Times New Roman" w:cs="Times New Roman"/>
          <w:color w:val="auto"/>
          <w:szCs w:val="21"/>
          <w:highlight w:val="none"/>
        </w:rPr>
        <w:t>指标</w:t>
      </w:r>
      <w:r>
        <w:rPr>
          <w:rFonts w:hint="default" w:ascii="Times New Roman" w:hAnsi="Times New Roman" w:cs="Times New Roman" w:eastAsiaTheme="minorEastAsia"/>
          <w:color w:val="auto"/>
          <w:szCs w:val="21"/>
          <w:highlight w:val="none"/>
        </w:rPr>
        <w:t>点7-1：</w:t>
      </w:r>
      <w:r>
        <w:rPr>
          <w:rFonts w:hint="default" w:ascii="Times New Roman" w:hAnsi="Times New Roman" w:cs="Times New Roman" w:eastAsiaTheme="minorEastAsia"/>
          <w:color w:val="auto"/>
          <w:kern w:val="0"/>
          <w:szCs w:val="21"/>
          <w:highlight w:val="none"/>
        </w:rPr>
        <w:t>了</w:t>
      </w:r>
      <w:r>
        <w:rPr>
          <w:rFonts w:hint="default" w:ascii="Times New Roman" w:hAnsi="Times New Roman" w:cs="Times New Roman" w:eastAsiaTheme="minorEastAsia"/>
          <w:color w:val="auto"/>
          <w:spacing w:val="-2"/>
          <w:szCs w:val="21"/>
          <w:highlight w:val="none"/>
        </w:rPr>
        <w:t>解环境和可持续发展的理念的内涵，理解工程项目实施和运行对环境保护和社会可持续发展的影响。</w:t>
      </w:r>
    </w:p>
    <w:p>
      <w:pPr>
        <w:keepNext w:val="0"/>
        <w:keepLines w:val="0"/>
        <w:pageBreakBefore w:val="0"/>
        <w:widowControl/>
        <w:kinsoku/>
        <w:wordWrap/>
        <w:overflowPunct/>
        <w:topLinePunct w:val="0"/>
        <w:autoSpaceDE/>
        <w:autoSpaceDN/>
        <w:bidi w:val="0"/>
        <w:adjustRightInd w:val="0"/>
        <w:snapToGrid w:val="0"/>
        <w:spacing w:line="360" w:lineRule="auto"/>
        <w:ind w:firstLine="412" w:firstLineChars="200"/>
        <w:jc w:val="left"/>
        <w:textAlignment w:val="auto"/>
        <w:rPr>
          <w:rFonts w:hint="default" w:ascii="Times New Roman" w:hAnsi="Times New Roman" w:cs="Times New Roman" w:eastAsiaTheme="minorEastAsia"/>
          <w:color w:val="auto"/>
          <w:spacing w:val="-2"/>
          <w:szCs w:val="21"/>
          <w:highlight w:val="none"/>
        </w:rPr>
      </w:pPr>
      <w:r>
        <w:rPr>
          <w:rFonts w:hint="default" w:ascii="Times New Roman" w:hAnsi="Times New Roman" w:cs="Times New Roman" w:eastAsiaTheme="minorEastAsia"/>
          <w:color w:val="auto"/>
          <w:spacing w:val="-2"/>
          <w:szCs w:val="21"/>
          <w:highlight w:val="none"/>
        </w:rPr>
        <w:t>指标点7-2：能够对测控</w:t>
      </w:r>
      <w:r>
        <w:rPr>
          <w:rFonts w:hint="default" w:ascii="Times New Roman" w:hAnsi="Times New Roman" w:cs="Times New Roman"/>
          <w:color w:val="auto"/>
          <w:szCs w:val="21"/>
          <w:highlight w:val="none"/>
        </w:rPr>
        <w:t>及仪器相关领域</w:t>
      </w:r>
      <w:r>
        <w:rPr>
          <w:rFonts w:hint="default" w:ascii="Times New Roman" w:hAnsi="Times New Roman" w:cs="Times New Roman" w:eastAsiaTheme="minorEastAsia"/>
          <w:color w:val="auto"/>
          <w:spacing w:val="-2"/>
          <w:szCs w:val="21"/>
          <w:highlight w:val="none"/>
        </w:rPr>
        <w:t>复杂工程中涉及的环境、社会可持续发展问题进行分析和评价，在专业工程实践中考虑环境与可持续发展因素。</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8.职业规范。</w:t>
      </w:r>
      <w:r>
        <w:rPr>
          <w:rFonts w:hint="default" w:ascii="Times New Roman" w:hAnsi="Times New Roman" w:cs="Times New Roman"/>
          <w:color w:val="auto"/>
          <w:szCs w:val="21"/>
          <w:highlight w:val="none"/>
        </w:rPr>
        <w:t>具有人文社会科学素养、社会责任感，能够在工程实践中理解并遵守工程职业道德和规范，履行责任；</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指标点8-1：树立正确的人生观、价值观和世界观，具有人文社会科学素养和社会责任感。</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指标点8-2：能够在工程实践中理解并遵守工程职业道德和规范，履行责任。</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9.个人和团队。</w:t>
      </w:r>
      <w:r>
        <w:rPr>
          <w:rFonts w:hint="default" w:ascii="Times New Roman" w:hAnsi="Times New Roman" w:cs="Times New Roman"/>
          <w:color w:val="auto"/>
          <w:szCs w:val="21"/>
          <w:highlight w:val="none"/>
        </w:rPr>
        <w:t>能够在多学科背景下的团队中承担个体、团队成员以及负责人的角色；</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pacing w:val="-2"/>
          <w:szCs w:val="21"/>
          <w:highlight w:val="none"/>
        </w:rPr>
      </w:pPr>
      <w:r>
        <w:rPr>
          <w:rFonts w:hint="default" w:ascii="Times New Roman" w:hAnsi="Times New Roman" w:cs="Times New Roman"/>
          <w:color w:val="auto"/>
          <w:szCs w:val="21"/>
          <w:highlight w:val="none"/>
        </w:rPr>
        <w:t>指标点9-1：</w:t>
      </w:r>
      <w:r>
        <w:rPr>
          <w:rFonts w:hint="default" w:ascii="Times New Roman" w:hAnsi="Times New Roman" w:cs="Times New Roman"/>
          <w:color w:val="auto"/>
          <w:spacing w:val="-2"/>
          <w:szCs w:val="21"/>
          <w:highlight w:val="none"/>
        </w:rPr>
        <w:t>能胜任团队成员的角色，独立完成团队分配的工作。</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pacing w:val="-2"/>
          <w:szCs w:val="21"/>
          <w:highlight w:val="none"/>
        </w:rPr>
      </w:pPr>
      <w:r>
        <w:rPr>
          <w:rFonts w:hint="default" w:ascii="Times New Roman" w:hAnsi="Times New Roman" w:cs="Times New Roman"/>
          <w:color w:val="auto"/>
          <w:szCs w:val="21"/>
          <w:highlight w:val="none"/>
        </w:rPr>
        <w:t>指标点9-2：能够承担团队负责人的角色，把握好工作进度，组织和协调团队成员开展工作。</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10.沟通。</w:t>
      </w:r>
      <w:r>
        <w:rPr>
          <w:rFonts w:hint="default" w:ascii="Times New Roman" w:hAnsi="Times New Roman" w:cs="Times New Roman"/>
          <w:color w:val="auto"/>
          <w:szCs w:val="21"/>
          <w:highlight w:val="none"/>
        </w:rPr>
        <w:t>能够就测控及仪器相关领域工程问题与业界同行及社会公众进行有效沟通和交流，并具备一定的国际视野，能够在跨文化背景下进行沟通和交流；</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指标点10-1：能够就测控及仪器相关领域的复杂工程问题与业界同行及社会公众进行有效沟通和交流，包括撰写报告、陈述发言、清晰表达。</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指标点10-2：具有一定的国际化视野，</w:t>
      </w:r>
      <w:r>
        <w:rPr>
          <w:rFonts w:hint="default" w:ascii="Times New Roman" w:hAnsi="Times New Roman" w:cs="Times New Roman"/>
          <w:color w:val="auto"/>
          <w:szCs w:val="21"/>
          <w:highlight w:val="none"/>
        </w:rPr>
        <w:t>具备跨文化交流的语言和书面表达能力，</w:t>
      </w:r>
      <w:r>
        <w:rPr>
          <w:rFonts w:hint="default" w:ascii="Times New Roman" w:hAnsi="Times New Roman" w:cs="Times New Roman" w:eastAsiaTheme="minorEastAsia"/>
          <w:color w:val="auto"/>
          <w:szCs w:val="21"/>
          <w:highlight w:val="none"/>
        </w:rPr>
        <w:t>能就专业问题在跨文化背景下进行沟通和交流。</w:t>
      </w:r>
    </w:p>
    <w:p>
      <w:pPr>
        <w:keepNext w:val="0"/>
        <w:keepLines w:val="0"/>
        <w:pageBreakBefore w:val="0"/>
        <w:tabs>
          <w:tab w:val="left" w:pos="4834"/>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11.项目管理。</w:t>
      </w:r>
      <w:r>
        <w:rPr>
          <w:rFonts w:hint="default" w:ascii="Times New Roman" w:hAnsi="Times New Roman" w:cs="Times New Roman"/>
          <w:color w:val="auto"/>
          <w:spacing w:val="-2"/>
          <w:szCs w:val="21"/>
          <w:highlight w:val="none"/>
        </w:rPr>
        <w:t>理解并掌握工程管理原理与经济决策方法，并能在多学科环境中应用；</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指标点11-1：理解并掌握工程项目中涉及的工程管理原理与经济分析与决策方法。</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指标点11-2：能够将工程管理原理与经济决策方法应用于多学科环境下测控及仪器相关领域的工程设计、运行及管理中。</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12.终身学习。</w:t>
      </w:r>
      <w:r>
        <w:rPr>
          <w:rFonts w:hint="default" w:ascii="Times New Roman" w:hAnsi="Times New Roman" w:cs="Times New Roman"/>
          <w:color w:val="auto"/>
          <w:szCs w:val="21"/>
          <w:highlight w:val="none"/>
        </w:rPr>
        <w:t>具有自主学习和终身学习的意识，有不断学习和适应发展的能力。</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指标点12-1：能正确认识自我探索和终身学习的必要性，具有自主学习和终身学习的意识；</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指标点12-2：掌握自主学习的方法，了解拓展知识和能力的途径，关注专业发展的动态，具有适应发展和知识更新的能力。</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三，学制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四年</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四，修业年限</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实行弹性修业年限，一般为四年，弹性幅度最短不低于三年，最长不多于六年。</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五，毕业与学位授予</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本专业学生必须按指导性培养计划的要求修读完成各类别课程规定的最低学分、并完成第二课堂规定的所有内容，总学分达到16</w:t>
      </w:r>
      <w:r>
        <w:rPr>
          <w:rFonts w:hint="eastAsia"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学分，方可毕业；达到学士学位授予条件者，授予工学学士学位。</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六，主干学科</w:t>
      </w:r>
    </w:p>
    <w:p>
      <w:pPr>
        <w:pStyle w:val="5"/>
        <w:keepNext w:val="0"/>
        <w:keepLines w:val="0"/>
        <w:pageBreakBefore w:val="0"/>
        <w:kinsoku/>
        <w:wordWrap/>
        <w:overflowPunct/>
        <w:topLinePunct w:val="0"/>
        <w:autoSpaceDE/>
        <w:autoSpaceDN/>
        <w:bidi w:val="0"/>
        <w:adjustRightInd w:val="0"/>
        <w:snapToGrid w:val="0"/>
        <w:spacing w:line="360" w:lineRule="auto"/>
        <w:ind w:left="0" w:leftChars="0" w:firstLine="420"/>
        <w:textAlignment w:val="auto"/>
        <w:rPr>
          <w:rFonts w:hint="default" w:ascii="Times New Roman" w:hAnsi="Times New Roman" w:eastAsia="黑体" w:cs="Times New Roman"/>
          <w:b/>
          <w:color w:val="auto"/>
          <w:highlight w:val="none"/>
        </w:rPr>
      </w:pPr>
      <w:r>
        <w:rPr>
          <w:rFonts w:hint="default" w:ascii="Times New Roman" w:hAnsi="Times New Roman" w:cs="Times New Roman"/>
          <w:color w:val="auto"/>
          <w:sz w:val="21"/>
          <w:szCs w:val="21"/>
          <w:highlight w:val="none"/>
        </w:rPr>
        <w:t>仪器科学与技术、</w:t>
      </w:r>
      <w:r>
        <w:rPr>
          <w:rFonts w:hint="default" w:ascii="Times New Roman" w:hAnsi="Times New Roman" w:cs="Times New Roman"/>
          <w:color w:val="auto"/>
          <w:sz w:val="21"/>
          <w:szCs w:val="21"/>
          <w:highlight w:val="none"/>
          <w:lang w:val="en-US" w:eastAsia="zh-CN"/>
        </w:rPr>
        <w:t>控制科学与工程</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七，专业核心课程</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szCs w:val="21"/>
          <w:highlight w:val="none"/>
        </w:rPr>
        <w:t xml:space="preserve">   程序设计基础、自动控制原理、传感器原理、信号与系统、误差理论与数据处理、运动控制系统、光电传感与检测、智能仪器技术、数字图像处理（双语）、虚拟仪器技术、测控技术与系统、工程光学、</w:t>
      </w:r>
      <w:r>
        <w:rPr>
          <w:rFonts w:hint="default" w:ascii="Times New Roman" w:hAnsi="Times New Roman" w:cs="Times New Roman"/>
          <w:color w:val="auto"/>
          <w:sz w:val="20"/>
          <w:szCs w:val="20"/>
          <w:highlight w:val="none"/>
        </w:rPr>
        <w:t>工业自动化与机器人技术、PLC原理及应用</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color w:val="auto"/>
          <w:highlight w:val="none"/>
        </w:rPr>
      </w:pPr>
      <w:r>
        <w:rPr>
          <w:rFonts w:hint="default" w:ascii="Times New Roman" w:hAnsi="Times New Roman" w:eastAsia="黑体" w:cs="Times New Roman"/>
          <w:b/>
          <w:color w:val="auto"/>
          <w:highlight w:val="none"/>
        </w:rPr>
        <w:t>八，课程体系构成及学时分配比例（不含第二课堂）</w:t>
      </w:r>
    </w:p>
    <w:tbl>
      <w:tblPr>
        <w:tblStyle w:val="6"/>
        <w:tblW w:w="8758" w:type="dxa"/>
        <w:tblInd w:w="-1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61"/>
        <w:gridCol w:w="1303"/>
        <w:gridCol w:w="1302"/>
        <w:gridCol w:w="1014"/>
        <w:gridCol w:w="1158"/>
        <w:gridCol w:w="1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exact"/>
        </w:trPr>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课程类别</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总学分</w:t>
            </w:r>
          </w:p>
        </w:tc>
        <w:tc>
          <w:tcPr>
            <w:tcW w:w="1302"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w:t>
            </w:r>
          </w:p>
        </w:tc>
        <w:tc>
          <w:tcPr>
            <w:tcW w:w="1014"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总学时</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理论学时</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exact"/>
        </w:trPr>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公共基础课</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6</w:t>
            </w:r>
            <w:r>
              <w:rPr>
                <w:rFonts w:hint="eastAsia" w:asciiTheme="minorEastAsia" w:hAnsiTheme="minorEastAsia" w:eastAsiaTheme="minorEastAsia" w:cstheme="minorEastAsia"/>
                <w:b w:val="0"/>
                <w:bCs w:val="0"/>
                <w:color w:val="auto"/>
                <w:sz w:val="21"/>
                <w:szCs w:val="21"/>
                <w:highlight w:val="none"/>
                <w:lang w:val="en-US" w:eastAsia="zh-CN"/>
              </w:rPr>
              <w:t>0</w:t>
            </w:r>
            <w:r>
              <w:rPr>
                <w:rFonts w:hint="eastAsia" w:asciiTheme="minorEastAsia" w:hAnsiTheme="minorEastAsia" w:eastAsiaTheme="minorEastAsia" w:cstheme="minorEastAsia"/>
                <w:b w:val="0"/>
                <w:bCs w:val="0"/>
                <w:color w:val="auto"/>
                <w:sz w:val="21"/>
                <w:szCs w:val="21"/>
                <w:highlight w:val="none"/>
              </w:rPr>
              <w:t>.5</w:t>
            </w:r>
          </w:p>
        </w:tc>
        <w:tc>
          <w:tcPr>
            <w:tcW w:w="1302"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kern w:val="0"/>
                <w:sz w:val="21"/>
                <w:szCs w:val="21"/>
                <w:highlight w:val="none"/>
                <w:lang w:bidi="ar"/>
              </w:rPr>
              <w:t>3</w:t>
            </w:r>
            <w:r>
              <w:rPr>
                <w:rFonts w:hint="eastAsia" w:asciiTheme="minorEastAsia" w:hAnsiTheme="minorEastAsia" w:eastAsiaTheme="minorEastAsia" w:cstheme="minorEastAsia"/>
                <w:b w:val="0"/>
                <w:bCs w:val="0"/>
                <w:color w:val="auto"/>
                <w:kern w:val="0"/>
                <w:sz w:val="21"/>
                <w:szCs w:val="21"/>
                <w:highlight w:val="none"/>
                <w:lang w:val="en-US" w:eastAsia="zh-CN" w:bidi="ar"/>
              </w:rPr>
              <w:t>7</w:t>
            </w:r>
          </w:p>
        </w:tc>
        <w:tc>
          <w:tcPr>
            <w:tcW w:w="1014"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1104</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1022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通识课</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10</w:t>
            </w:r>
          </w:p>
        </w:tc>
        <w:tc>
          <w:tcPr>
            <w:tcW w:w="1302"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6</w:t>
            </w:r>
          </w:p>
        </w:tc>
        <w:tc>
          <w:tcPr>
            <w:tcW w:w="1014"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160</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152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工程基础课</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20</w:t>
            </w:r>
          </w:p>
        </w:tc>
        <w:tc>
          <w:tcPr>
            <w:tcW w:w="1302"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12</w:t>
            </w:r>
          </w:p>
        </w:tc>
        <w:tc>
          <w:tcPr>
            <w:tcW w:w="1014"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320</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240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exact"/>
        </w:trPr>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专业基础课</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16</w:t>
            </w:r>
          </w:p>
        </w:tc>
        <w:tc>
          <w:tcPr>
            <w:tcW w:w="1302"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bidi="ar"/>
              </w:rPr>
              <w:t>10</w:t>
            </w:r>
          </w:p>
        </w:tc>
        <w:tc>
          <w:tcPr>
            <w:tcW w:w="1014"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256</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t>20</w:t>
            </w:r>
            <w:r>
              <w:rPr>
                <w:rFonts w:hint="eastAsia" w:asciiTheme="minorEastAsia" w:hAnsiTheme="minorEastAsia" w:eastAsiaTheme="minorEastAsia" w:cstheme="minorEastAsia"/>
                <w:b w:val="0"/>
                <w:bCs w:val="0"/>
                <w:color w:val="auto"/>
                <w:sz w:val="21"/>
                <w:szCs w:val="21"/>
                <w:highlight w:val="none"/>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exact"/>
        </w:trPr>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专  业  课</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25</w:t>
            </w:r>
          </w:p>
        </w:tc>
        <w:tc>
          <w:tcPr>
            <w:tcW w:w="1302"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15</w:t>
            </w:r>
          </w:p>
        </w:tc>
        <w:tc>
          <w:tcPr>
            <w:tcW w:w="1014"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400</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3</w:t>
            </w:r>
            <w:r>
              <w:rPr>
                <w:rFonts w:hint="eastAsia" w:asciiTheme="minorEastAsia" w:hAnsiTheme="minorEastAsia" w:eastAsiaTheme="minorEastAsia" w:cstheme="minorEastAsia"/>
                <w:b w:val="0"/>
                <w:bCs w:val="0"/>
                <w:color w:val="auto"/>
                <w:sz w:val="21"/>
                <w:szCs w:val="21"/>
                <w:highlight w:val="none"/>
                <w:lang w:val="en-US" w:eastAsia="zh-CN"/>
              </w:rPr>
              <w:t>18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trPr>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专业实践</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33.5</w:t>
            </w:r>
          </w:p>
        </w:tc>
        <w:tc>
          <w:tcPr>
            <w:tcW w:w="1302"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20</w:t>
            </w:r>
          </w:p>
        </w:tc>
        <w:tc>
          <w:tcPr>
            <w:tcW w:w="1014"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952</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952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trPr>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合计</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165</w:t>
            </w:r>
          </w:p>
        </w:tc>
        <w:tc>
          <w:tcPr>
            <w:tcW w:w="1302"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hint="default" w:asciiTheme="minorEastAsia" w:hAnsiTheme="minorEastAsia" w:eastAsiaTheme="minorEastAsia" w:cstheme="minorEastAsia"/>
                <w:b w:val="0"/>
                <w:bCs w:val="0"/>
                <w:color w:val="auto"/>
                <w:sz w:val="21"/>
                <w:szCs w:val="21"/>
                <w:highlight w:val="none"/>
              </w:rPr>
            </w:pPr>
            <w:r>
              <w:rPr>
                <w:rFonts w:hint="default" w:asciiTheme="minorEastAsia" w:hAnsiTheme="minorEastAsia" w:eastAsiaTheme="minorEastAsia" w:cstheme="minorEastAsia"/>
                <w:b w:val="0"/>
                <w:bCs w:val="0"/>
                <w:color w:val="auto"/>
                <w:sz w:val="21"/>
                <w:szCs w:val="21"/>
                <w:highlight w:val="none"/>
              </w:rPr>
              <w:fldChar w:fldCharType="begin"/>
            </w:r>
            <w:r>
              <w:rPr>
                <w:rFonts w:hint="default" w:asciiTheme="minorEastAsia" w:hAnsiTheme="minorEastAsia" w:eastAsiaTheme="minorEastAsia" w:cstheme="minorEastAsia"/>
                <w:b w:val="0"/>
                <w:bCs w:val="0"/>
                <w:color w:val="auto"/>
                <w:sz w:val="21"/>
                <w:szCs w:val="21"/>
                <w:highlight w:val="none"/>
              </w:rPr>
              <w:instrText xml:space="preserve"> =SUM(ABOVE) \* MERGEFORMAT </w:instrText>
            </w:r>
            <w:r>
              <w:rPr>
                <w:rFonts w:hint="default" w:asciiTheme="minorEastAsia" w:hAnsiTheme="minorEastAsia" w:eastAsiaTheme="minorEastAsia" w:cstheme="minorEastAsia"/>
                <w:b w:val="0"/>
                <w:bCs w:val="0"/>
                <w:color w:val="auto"/>
                <w:sz w:val="21"/>
                <w:szCs w:val="21"/>
                <w:highlight w:val="none"/>
              </w:rPr>
              <w:fldChar w:fldCharType="separate"/>
            </w:r>
            <w:r>
              <w:rPr>
                <w:rFonts w:hint="default" w:asciiTheme="minorEastAsia" w:hAnsiTheme="minorEastAsia" w:eastAsiaTheme="minorEastAsia" w:cstheme="minorEastAsia"/>
                <w:b w:val="0"/>
                <w:bCs w:val="0"/>
                <w:color w:val="auto"/>
                <w:sz w:val="21"/>
                <w:szCs w:val="21"/>
                <w:highlight w:val="none"/>
              </w:rPr>
              <w:t>100</w:t>
            </w:r>
            <w:r>
              <w:rPr>
                <w:rFonts w:hint="default" w:asciiTheme="minorEastAsia" w:hAnsiTheme="minorEastAsia" w:eastAsiaTheme="minorEastAsia" w:cstheme="minorEastAsia"/>
                <w:b w:val="0"/>
                <w:bCs w:val="0"/>
                <w:color w:val="auto"/>
                <w:sz w:val="21"/>
                <w:szCs w:val="21"/>
                <w:highlight w:val="none"/>
              </w:rPr>
              <w:fldChar w:fldCharType="end"/>
            </w:r>
          </w:p>
        </w:tc>
        <w:tc>
          <w:tcPr>
            <w:tcW w:w="101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3192</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1940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1252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理论学时：实践学时（%）</w:t>
            </w:r>
          </w:p>
        </w:tc>
        <w:tc>
          <w:tcPr>
            <w:tcW w:w="59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rPr>
              <w:t>6</w:t>
            </w:r>
            <w:r>
              <w:rPr>
                <w:rFonts w:hint="eastAsia" w:asciiTheme="minorEastAsia" w:hAnsiTheme="minorEastAsia" w:eastAsiaTheme="minorEastAsia" w:cstheme="minorEastAsia"/>
                <w:b w:val="0"/>
                <w:bCs w:val="0"/>
                <w:color w:val="auto"/>
                <w:kern w:val="0"/>
                <w:sz w:val="21"/>
                <w:szCs w:val="21"/>
                <w:highlight w:val="none"/>
                <w:lang w:val="en-US" w:eastAsia="zh-CN"/>
              </w:rPr>
              <w:t>1</w:t>
            </w:r>
            <w:r>
              <w:rPr>
                <w:rFonts w:hint="eastAsia" w:asciiTheme="minorEastAsia" w:hAnsiTheme="minorEastAsia" w:eastAsiaTheme="minorEastAsia" w:cstheme="minorEastAsia"/>
                <w:b w:val="0"/>
                <w:bCs w:val="0"/>
                <w:color w:val="auto"/>
                <w:kern w:val="0"/>
                <w:sz w:val="21"/>
                <w:szCs w:val="21"/>
                <w:highlight w:val="none"/>
              </w:rPr>
              <w:t>：</w:t>
            </w:r>
            <w:r>
              <w:rPr>
                <w:rFonts w:hint="eastAsia" w:asciiTheme="minorEastAsia" w:hAnsiTheme="minorEastAsia" w:eastAsiaTheme="minorEastAsia" w:cstheme="minorEastAsia"/>
                <w:b w:val="0"/>
                <w:bCs w:val="0"/>
                <w:color w:val="auto"/>
                <w:kern w:val="0"/>
                <w:sz w:val="21"/>
                <w:szCs w:val="21"/>
                <w:highlight w:val="none"/>
                <w:lang w:val="en-US" w:eastAsia="zh-CN"/>
              </w:rPr>
              <w:t>39</w:t>
            </w:r>
            <w:bookmarkStart w:id="6" w:name="_GoBack"/>
            <w:bookmarkEnd w:id="6"/>
          </w:p>
        </w:tc>
      </w:tr>
    </w:tbl>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九，教学安排一览表（1）</w:t>
      </w:r>
    </w:p>
    <w:tbl>
      <w:tblPr>
        <w:tblStyle w:val="6"/>
        <w:tblW w:w="8309" w:type="dxa"/>
        <w:jc w:val="center"/>
        <w:tblLayout w:type="fixed"/>
        <w:tblCellMar>
          <w:top w:w="0" w:type="dxa"/>
          <w:left w:w="0" w:type="dxa"/>
          <w:bottom w:w="0" w:type="dxa"/>
          <w:right w:w="0" w:type="dxa"/>
        </w:tblCellMar>
      </w:tblPr>
      <w:tblGrid>
        <w:gridCol w:w="303"/>
        <w:gridCol w:w="423"/>
        <w:gridCol w:w="425"/>
        <w:gridCol w:w="1024"/>
        <w:gridCol w:w="2697"/>
        <w:gridCol w:w="391"/>
        <w:gridCol w:w="540"/>
        <w:gridCol w:w="526"/>
        <w:gridCol w:w="569"/>
        <w:gridCol w:w="434"/>
        <w:gridCol w:w="977"/>
      </w:tblGrid>
      <w:tr>
        <w:tblPrEx>
          <w:tblCellMar>
            <w:top w:w="0" w:type="dxa"/>
            <w:left w:w="0" w:type="dxa"/>
            <w:bottom w:w="0" w:type="dxa"/>
            <w:right w:w="0" w:type="dxa"/>
          </w:tblCellMar>
        </w:tblPrEx>
        <w:trPr>
          <w:trHeight w:val="428" w:hRule="atLeast"/>
          <w:tblHeader/>
          <w:jc w:val="center"/>
        </w:trPr>
        <w:tc>
          <w:tcPr>
            <w:tcW w:w="3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类</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别</w:t>
            </w:r>
          </w:p>
        </w:tc>
        <w:tc>
          <w:tcPr>
            <w:tcW w:w="423"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性</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质</w:t>
            </w:r>
          </w:p>
        </w:tc>
        <w:tc>
          <w:tcPr>
            <w:tcW w:w="425"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开</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院</w:t>
            </w:r>
          </w:p>
        </w:tc>
        <w:tc>
          <w:tcPr>
            <w:tcW w:w="10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代</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码</w:t>
            </w:r>
          </w:p>
        </w:tc>
        <w:tc>
          <w:tcPr>
            <w:tcW w:w="2697"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课程名称</w:t>
            </w:r>
          </w:p>
        </w:tc>
        <w:tc>
          <w:tcPr>
            <w:tcW w:w="391"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考</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核</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方</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式</w:t>
            </w:r>
          </w:p>
        </w:tc>
        <w:tc>
          <w:tcPr>
            <w:tcW w:w="540"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分</w:t>
            </w:r>
          </w:p>
        </w:tc>
        <w:tc>
          <w:tcPr>
            <w:tcW w:w="526"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569"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理</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论</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434" w:type="dxa"/>
            <w:vMerge w:val="restart"/>
            <w:tcBorders>
              <w:top w:val="single" w:color="auto" w:sz="4" w:space="0"/>
              <w:left w:val="nil"/>
              <w:right w:val="single" w:color="auto" w:sz="4" w:space="0"/>
            </w:tcBorders>
            <w:shd w:val="clear" w:color="auto" w:fill="auto"/>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977" w:type="dxa"/>
            <w:tcBorders>
              <w:top w:val="single" w:color="auto" w:sz="4" w:space="0"/>
              <w:left w:val="single" w:color="auto" w:sz="4" w:space="0"/>
              <w:right w:val="single" w:color="auto" w:sz="4" w:space="0"/>
            </w:tcBorders>
            <w:shd w:val="clear" w:color="auto" w:fill="auto"/>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建议</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修读</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学期</w:t>
            </w:r>
          </w:p>
        </w:tc>
      </w:tr>
      <w:tr>
        <w:tblPrEx>
          <w:tblCellMar>
            <w:top w:w="0" w:type="dxa"/>
            <w:left w:w="0" w:type="dxa"/>
            <w:bottom w:w="0" w:type="dxa"/>
            <w:right w:w="0" w:type="dxa"/>
          </w:tblCellMar>
        </w:tblPrEx>
        <w:trPr>
          <w:trHeight w:val="262" w:hRule="atLeast"/>
          <w:tblHeader/>
          <w:jc w:val="center"/>
        </w:trPr>
        <w:tc>
          <w:tcPr>
            <w:tcW w:w="3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b/>
                <w:color w:val="auto"/>
                <w:sz w:val="20"/>
                <w:szCs w:val="20"/>
                <w:highlight w:val="none"/>
              </w:rPr>
            </w:pPr>
          </w:p>
        </w:tc>
        <w:tc>
          <w:tcPr>
            <w:tcW w:w="423"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b/>
                <w:color w:val="auto"/>
                <w:sz w:val="20"/>
                <w:szCs w:val="20"/>
                <w:highlight w:val="none"/>
              </w:rPr>
            </w:pPr>
          </w:p>
        </w:tc>
        <w:tc>
          <w:tcPr>
            <w:tcW w:w="425"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b/>
                <w:color w:val="auto"/>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b/>
                <w:color w:val="auto"/>
                <w:sz w:val="20"/>
                <w:szCs w:val="20"/>
                <w:highlight w:val="none"/>
              </w:rPr>
            </w:pPr>
          </w:p>
        </w:tc>
        <w:tc>
          <w:tcPr>
            <w:tcW w:w="2697"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hint="eastAsia" w:ascii="宋体" w:hAnsi="宋体" w:eastAsia="宋体" w:cs="宋体"/>
                <w:b/>
                <w:color w:val="auto"/>
                <w:sz w:val="20"/>
                <w:szCs w:val="20"/>
                <w:highlight w:val="none"/>
              </w:rPr>
            </w:pPr>
          </w:p>
        </w:tc>
        <w:tc>
          <w:tcPr>
            <w:tcW w:w="391"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b/>
                <w:color w:val="auto"/>
                <w:sz w:val="20"/>
                <w:szCs w:val="20"/>
                <w:highlight w:val="none"/>
              </w:rPr>
            </w:pPr>
          </w:p>
        </w:tc>
        <w:tc>
          <w:tcPr>
            <w:tcW w:w="540"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b/>
                <w:color w:val="auto"/>
                <w:sz w:val="20"/>
                <w:szCs w:val="20"/>
                <w:highlight w:val="none"/>
              </w:rPr>
            </w:pPr>
          </w:p>
        </w:tc>
        <w:tc>
          <w:tcPr>
            <w:tcW w:w="526"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b/>
                <w:color w:val="auto"/>
                <w:sz w:val="20"/>
                <w:szCs w:val="20"/>
                <w:highlight w:val="none"/>
              </w:rPr>
            </w:pPr>
          </w:p>
        </w:tc>
        <w:tc>
          <w:tcPr>
            <w:tcW w:w="569"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b/>
                <w:color w:val="auto"/>
                <w:sz w:val="20"/>
                <w:szCs w:val="20"/>
                <w:highlight w:val="none"/>
              </w:rPr>
            </w:pPr>
          </w:p>
        </w:tc>
        <w:tc>
          <w:tcPr>
            <w:tcW w:w="434" w:type="dxa"/>
            <w:vMerge w:val="continue"/>
            <w:tcBorders>
              <w:left w:val="nil"/>
              <w:bottom w:val="single" w:color="auto" w:sz="4" w:space="0"/>
              <w:right w:val="single" w:color="auto" w:sz="4" w:space="0"/>
            </w:tcBorders>
            <w:shd w:val="clear" w:color="auto" w:fill="auto"/>
          </w:tcPr>
          <w:p>
            <w:pPr>
              <w:widowControl/>
              <w:adjustRightInd w:val="0"/>
              <w:snapToGrid w:val="0"/>
              <w:jc w:val="center"/>
              <w:rPr>
                <w:rFonts w:hint="eastAsia" w:ascii="宋体" w:hAnsi="宋体" w:eastAsia="宋体" w:cs="宋体"/>
                <w:b/>
                <w:color w:val="auto"/>
                <w:sz w:val="20"/>
                <w:szCs w:val="20"/>
                <w:highlight w:val="none"/>
              </w:rPr>
            </w:pPr>
          </w:p>
        </w:tc>
        <w:tc>
          <w:tcPr>
            <w:tcW w:w="977" w:type="dxa"/>
            <w:tcBorders>
              <w:left w:val="single" w:color="auto" w:sz="4" w:space="0"/>
              <w:bottom w:val="single" w:color="auto" w:sz="4" w:space="0"/>
              <w:right w:val="single" w:color="auto" w:sz="4" w:space="0"/>
            </w:tcBorders>
            <w:shd w:val="clear" w:color="auto" w:fill="auto"/>
          </w:tcPr>
          <w:p>
            <w:pPr>
              <w:widowControl/>
              <w:adjustRightInd w:val="0"/>
              <w:snapToGrid w:val="0"/>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312" w:hRule="exac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公</w:t>
            </w:r>
          </w:p>
          <w:p>
            <w:pPr>
              <w:adjustRightInd w:val="0"/>
              <w:snapToGrid w:val="0"/>
              <w:jc w:val="center"/>
              <w:rPr>
                <w:rFonts w:hint="eastAsia" w:ascii="宋体" w:hAnsi="宋体" w:eastAsia="宋体" w:cs="宋体"/>
                <w:b/>
                <w:color w:val="auto"/>
                <w:sz w:val="20"/>
                <w:szCs w:val="20"/>
                <w:highlight w:val="none"/>
              </w:rPr>
            </w:pP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共</w:t>
            </w:r>
          </w:p>
          <w:p>
            <w:pPr>
              <w:adjustRightInd w:val="0"/>
              <w:snapToGrid w:val="0"/>
              <w:jc w:val="center"/>
              <w:rPr>
                <w:rFonts w:hint="eastAsia" w:ascii="宋体" w:hAnsi="宋体" w:eastAsia="宋体" w:cs="宋体"/>
                <w:b/>
                <w:color w:val="auto"/>
                <w:sz w:val="20"/>
                <w:szCs w:val="20"/>
                <w:highlight w:val="none"/>
              </w:rPr>
            </w:pP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基</w:t>
            </w:r>
          </w:p>
          <w:p>
            <w:pPr>
              <w:adjustRightInd w:val="0"/>
              <w:snapToGrid w:val="0"/>
              <w:jc w:val="center"/>
              <w:rPr>
                <w:rFonts w:hint="eastAsia" w:ascii="宋体" w:hAnsi="宋体" w:eastAsia="宋体" w:cs="宋体"/>
                <w:b/>
                <w:color w:val="auto"/>
                <w:sz w:val="20"/>
                <w:szCs w:val="20"/>
                <w:highlight w:val="none"/>
              </w:rPr>
            </w:pP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础</w:t>
            </w:r>
          </w:p>
          <w:p>
            <w:pPr>
              <w:adjustRightInd w:val="0"/>
              <w:snapToGrid w:val="0"/>
              <w:jc w:val="center"/>
              <w:rPr>
                <w:rFonts w:hint="eastAsia" w:ascii="宋体" w:hAnsi="宋体" w:eastAsia="宋体" w:cs="宋体"/>
                <w:b/>
                <w:color w:val="auto"/>
                <w:sz w:val="20"/>
                <w:szCs w:val="20"/>
                <w:highlight w:val="none"/>
              </w:rPr>
            </w:pP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b1080001</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马克思主义基本原理</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b1080009</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思想道德与法治</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b1080006</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中国近现代史纲要</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b1080010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毛泽东思想和中国特色社会主义理论体系概论</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春2</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b1080011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习近平新时代中国特色社会主义思想概论</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秋2</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形势与政策(模块1～4)</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秋1～春2</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b1080008</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劳动教育A</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b1020080</w:t>
            </w:r>
            <w:r>
              <w:rPr>
                <w:rFonts w:hint="eastAsia" w:ascii="宋体" w:hAnsi="宋体" w:eastAsia="宋体" w:cs="宋体"/>
                <w:color w:val="auto"/>
                <w:sz w:val="20"/>
                <w:szCs w:val="20"/>
                <w:highlight w:val="none"/>
                <w:lang w:val="en-US" w:eastAsia="zh-CN"/>
              </w:rPr>
              <w:t>+</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高等数学A1</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b1020081</w:t>
            </w:r>
            <w:r>
              <w:rPr>
                <w:rFonts w:hint="eastAsia" w:ascii="宋体" w:hAnsi="宋体" w:eastAsia="宋体" w:cs="宋体"/>
                <w:color w:val="auto"/>
                <w:sz w:val="20"/>
                <w:szCs w:val="20"/>
                <w:highlight w:val="none"/>
                <w:lang w:val="en-US" w:eastAsia="zh-CN"/>
              </w:rPr>
              <w:t>+</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高等数学A2</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b1020012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线性代数</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b1020114</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概率论与数理统计</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b1020100　</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复变函数与积分变换</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textDirection w:val="tbRlV"/>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b1020076</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计算方法</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textDirection w:val="tbRlV"/>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b1020062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大学物理A(模块1)</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b1020065</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大学物理B</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b1020111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大学物理C </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体育</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体育I～VI</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160</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秋1～秋4</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b1110003</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军事技能</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b1110002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军事理论 </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b1110004</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大学生心理健康教育</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b1020018</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大学语文</w:t>
            </w:r>
            <w:r>
              <w:rPr>
                <w:rFonts w:hint="eastAsia" w:ascii="宋体" w:hAnsi="宋体" w:eastAsia="宋体" w:cs="宋体"/>
                <w:color w:val="auto"/>
                <w:sz w:val="20"/>
                <w:szCs w:val="20"/>
                <w:highlight w:val="none"/>
              </w:rPr>
              <w:t xml:space="preserve"> </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b1020004</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通用英语IV</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b1020005</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通用学术英语A</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312" w:hRule="exact"/>
          <w:jc w:val="center"/>
        </w:trPr>
        <w:tc>
          <w:tcPr>
            <w:tcW w:w="303" w:type="dxa"/>
            <w:vMerge w:val="continue"/>
            <w:tcBorders>
              <w:left w:val="single" w:color="auto" w:sz="4" w:space="0"/>
              <w:bottom w:val="nil"/>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312"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color w:val="auto"/>
                <w:sz w:val="20"/>
                <w:szCs w:val="20"/>
                <w:highlight w:val="none"/>
              </w:rPr>
            </w:pPr>
          </w:p>
        </w:tc>
        <w:tc>
          <w:tcPr>
            <w:tcW w:w="1024" w:type="dxa"/>
            <w:tcBorders>
              <w:top w:val="single" w:color="auto" w:sz="4" w:space="0"/>
              <w:bottom w:val="single" w:color="auto" w:sz="4" w:space="0"/>
            </w:tcBorders>
            <w:shd w:val="clear" w:color="auto" w:fill="D8D8D8" w:themeFill="background1" w:themeFillShade="D9"/>
            <w:vAlign w:val="center"/>
          </w:tcPr>
          <w:p>
            <w:pPr>
              <w:adjustRightInd w:val="0"/>
              <w:snapToGrid w:val="0"/>
              <w:jc w:val="right"/>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(公共基础课)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6</w:t>
            </w:r>
            <w:r>
              <w:rPr>
                <w:rFonts w:hint="eastAsia" w:ascii="宋体" w:hAnsi="宋体" w:cs="宋体"/>
                <w:b/>
                <w:color w:val="auto"/>
                <w:sz w:val="20"/>
                <w:szCs w:val="20"/>
                <w:highlight w:val="none"/>
                <w:lang w:val="en-US" w:eastAsia="zh-CN"/>
              </w:rPr>
              <w:t>0</w:t>
            </w:r>
            <w:r>
              <w:rPr>
                <w:rFonts w:hint="eastAsia" w:ascii="宋体" w:hAnsi="宋体" w:eastAsia="宋体" w:cs="宋体"/>
                <w:b/>
                <w:color w:val="auto"/>
                <w:sz w:val="20"/>
                <w:szCs w:val="20"/>
                <w:highlight w:val="none"/>
              </w:rPr>
              <w:t>.5</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default" w:ascii="宋体" w:hAnsi="宋体" w:eastAsia="宋体" w:cs="宋体"/>
                <w:b/>
                <w:bCs/>
                <w:color w:val="auto"/>
                <w:sz w:val="20"/>
                <w:szCs w:val="20"/>
                <w:highlight w:val="none"/>
                <w:lang w:val="en-US"/>
              </w:rPr>
            </w:pPr>
            <w:r>
              <w:rPr>
                <w:rFonts w:hint="eastAsia" w:asciiTheme="minorEastAsia" w:hAnsiTheme="minorEastAsia" w:eastAsiaTheme="minorEastAsia" w:cstheme="minorEastAsia"/>
                <w:b/>
                <w:bCs/>
                <w:color w:val="auto"/>
                <w:sz w:val="20"/>
                <w:szCs w:val="20"/>
                <w:highlight w:val="none"/>
                <w:lang w:val="en-US" w:eastAsia="zh-CN"/>
              </w:rPr>
              <w:t>1104</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default" w:ascii="宋体" w:hAnsi="宋体" w:eastAsia="宋体" w:cs="宋体"/>
                <w:b/>
                <w:bCs/>
                <w:color w:val="auto"/>
                <w:sz w:val="20"/>
                <w:szCs w:val="20"/>
                <w:highlight w:val="none"/>
                <w:lang w:val="en-US"/>
              </w:rPr>
            </w:pPr>
            <w:r>
              <w:rPr>
                <w:rFonts w:hint="eastAsia" w:asciiTheme="minorEastAsia" w:hAnsiTheme="minorEastAsia" w:eastAsiaTheme="minorEastAsia" w:cstheme="minorEastAsia"/>
                <w:b/>
                <w:bCs/>
                <w:color w:val="auto"/>
                <w:sz w:val="20"/>
                <w:szCs w:val="20"/>
                <w:highlight w:val="none"/>
                <w:lang w:val="en-US" w:eastAsia="zh-CN"/>
              </w:rPr>
              <w:t>1022</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default" w:ascii="宋体" w:hAnsi="宋体" w:eastAsia="宋体" w:cs="宋体"/>
                <w:b/>
                <w:bCs/>
                <w:color w:val="auto"/>
                <w:sz w:val="20"/>
                <w:szCs w:val="20"/>
                <w:highlight w:val="none"/>
                <w:lang w:val="en-US"/>
              </w:rPr>
            </w:pPr>
            <w:r>
              <w:rPr>
                <w:rFonts w:hint="eastAsia" w:asciiTheme="minorEastAsia" w:hAnsiTheme="minorEastAsia" w:eastAsiaTheme="minorEastAsia" w:cstheme="minorEastAsia"/>
                <w:b/>
                <w:bCs/>
                <w:color w:val="auto"/>
                <w:sz w:val="20"/>
                <w:szCs w:val="20"/>
                <w:highlight w:val="none"/>
                <w:lang w:val="en-US" w:eastAsia="zh-CN"/>
              </w:rPr>
              <w:t>82</w:t>
            </w: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0" w:type="dxa"/>
            <w:bottom w:w="0" w:type="dxa"/>
            <w:right w:w="0" w:type="dxa"/>
          </w:tblCellMar>
        </w:tblPrEx>
        <w:trPr>
          <w:trHeight w:val="338" w:hRule="exac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通</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识课</w:t>
            </w:r>
          </w:p>
        </w:tc>
        <w:tc>
          <w:tcPr>
            <w:tcW w:w="4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选</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计信</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b1012001</w:t>
            </w:r>
          </w:p>
        </w:tc>
        <w:tc>
          <w:tcPr>
            <w:tcW w:w="2697"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人工智能应用与实践</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8</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秋1</w:t>
            </w:r>
          </w:p>
        </w:tc>
      </w:tr>
      <w:tr>
        <w:tblPrEx>
          <w:tblCellMar>
            <w:top w:w="0" w:type="dxa"/>
            <w:left w:w="0" w:type="dxa"/>
            <w:bottom w:w="0" w:type="dxa"/>
            <w:right w:w="0" w:type="dxa"/>
          </w:tblCellMar>
        </w:tblPrEx>
        <w:trPr>
          <w:trHeight w:val="319"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选</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资环</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b1013002</w:t>
            </w:r>
          </w:p>
        </w:tc>
        <w:tc>
          <w:tcPr>
            <w:tcW w:w="2697"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绿色低碳与生态文明</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春1</w:t>
            </w:r>
          </w:p>
        </w:tc>
      </w:tr>
      <w:tr>
        <w:tblPrEx>
          <w:tblCellMar>
            <w:top w:w="0" w:type="dxa"/>
            <w:left w:w="0" w:type="dxa"/>
            <w:bottom w:w="0" w:type="dxa"/>
            <w:right w:w="0" w:type="dxa"/>
          </w:tblCellMar>
        </w:tblPrEx>
        <w:trPr>
          <w:trHeight w:val="498"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选</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艺术中心</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0"/>
                <w:sz w:val="20"/>
                <w:szCs w:val="20"/>
                <w:highlight w:val="none"/>
                <w:shd w:val="clear" w:color="auto" w:fill="FFFFFF"/>
              </w:rPr>
            </w:pPr>
            <w:r>
              <w:rPr>
                <w:rFonts w:hint="eastAsia" w:ascii="宋体" w:hAnsi="宋体" w:eastAsia="宋体" w:cs="宋体"/>
                <w:color w:val="auto"/>
                <w:sz w:val="20"/>
                <w:szCs w:val="20"/>
                <w:highlight w:val="none"/>
              </w:rPr>
              <w:t>美育</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秋，春</w:t>
            </w:r>
          </w:p>
        </w:tc>
      </w:tr>
      <w:tr>
        <w:tblPrEx>
          <w:tblCellMar>
            <w:top w:w="0" w:type="dxa"/>
            <w:left w:w="0" w:type="dxa"/>
            <w:bottom w:w="0" w:type="dxa"/>
            <w:right w:w="0" w:type="dxa"/>
          </w:tblCellMar>
        </w:tblPrEx>
        <w:trPr>
          <w:trHeight w:val="376"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选</w:t>
            </w:r>
          </w:p>
        </w:tc>
        <w:tc>
          <w:tcPr>
            <w:tcW w:w="425"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各</w:t>
            </w:r>
          </w:p>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学院</w:t>
            </w:r>
          </w:p>
        </w:tc>
        <w:tc>
          <w:tcPr>
            <w:tcW w:w="102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0"/>
                <w:sz w:val="20"/>
                <w:szCs w:val="20"/>
                <w:highlight w:val="none"/>
                <w:shd w:val="clear" w:color="auto" w:fill="FFFFFF"/>
              </w:rPr>
            </w:pPr>
            <w:r>
              <w:rPr>
                <w:rFonts w:hint="eastAsia" w:ascii="宋体" w:hAnsi="宋体" w:eastAsia="宋体" w:cs="宋体"/>
                <w:color w:val="auto"/>
                <w:sz w:val="20"/>
                <w:szCs w:val="20"/>
                <w:highlight w:val="none"/>
              </w:rPr>
              <w:t>社会科学与人文素养</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秋，春</w:t>
            </w:r>
          </w:p>
        </w:tc>
      </w:tr>
      <w:tr>
        <w:tblPrEx>
          <w:tblCellMar>
            <w:top w:w="0" w:type="dxa"/>
            <w:left w:w="0" w:type="dxa"/>
            <w:bottom w:w="0" w:type="dxa"/>
            <w:right w:w="0" w:type="dxa"/>
          </w:tblCellMar>
        </w:tblPrEx>
        <w:trPr>
          <w:trHeight w:val="372" w:hRule="exact"/>
          <w:jc w:val="center"/>
        </w:trPr>
        <w:tc>
          <w:tcPr>
            <w:tcW w:w="303"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c>
          <w:tcPr>
            <w:tcW w:w="423" w:type="dxa"/>
            <w:vMerge w:val="continue"/>
            <w:tcBorders>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102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自然科学与科技创新</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秋，春</w:t>
            </w:r>
          </w:p>
        </w:tc>
      </w:tr>
      <w:tr>
        <w:tblPrEx>
          <w:tblCellMar>
            <w:top w:w="0" w:type="dxa"/>
            <w:left w:w="0" w:type="dxa"/>
            <w:bottom w:w="0" w:type="dxa"/>
            <w:right w:w="0" w:type="dxa"/>
          </w:tblCellMar>
        </w:tblPrEx>
        <w:trPr>
          <w:trHeight w:val="295"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p>
        </w:tc>
        <w:tc>
          <w:tcPr>
            <w:tcW w:w="423"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p>
        </w:tc>
        <w:tc>
          <w:tcPr>
            <w:tcW w:w="1024"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8D8D8" w:themeFill="background1" w:themeFillShade="D9"/>
            <w:vAlign w:val="center"/>
          </w:tcPr>
          <w:p>
            <w:pPr>
              <w:widowControl/>
              <w:adjustRightInd w:val="0"/>
              <w:snapToGrid w:val="0"/>
              <w:rPr>
                <w:rFonts w:hint="eastAsia" w:ascii="宋体" w:hAnsi="宋体" w:eastAsia="宋体" w:cs="宋体"/>
                <w:b/>
                <w:color w:val="auto"/>
                <w:kern w:val="0"/>
                <w:sz w:val="20"/>
                <w:szCs w:val="20"/>
                <w:highlight w:val="none"/>
              </w:rPr>
            </w:pPr>
            <w:r>
              <w:rPr>
                <w:rFonts w:hint="eastAsia" w:ascii="宋体" w:hAnsi="宋体" w:eastAsia="宋体" w:cs="宋体"/>
                <w:b/>
                <w:color w:val="auto"/>
                <w:sz w:val="20"/>
                <w:szCs w:val="20"/>
                <w:highlight w:val="none"/>
              </w:rPr>
              <w:t>(通识课)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default" w:ascii="宋体" w:hAnsi="宋体" w:eastAsia="宋体" w:cs="宋体"/>
                <w:b/>
                <w:color w:val="auto"/>
                <w:sz w:val="20"/>
                <w:szCs w:val="20"/>
                <w:highlight w:val="none"/>
                <w:lang w:val="en-US" w:eastAsia="zh-CN"/>
              </w:rPr>
            </w:pPr>
            <w:r>
              <w:rPr>
                <w:rFonts w:hint="eastAsia" w:ascii="宋体" w:hAnsi="宋体" w:cs="宋体"/>
                <w:b/>
                <w:color w:val="auto"/>
                <w:sz w:val="20"/>
                <w:szCs w:val="20"/>
                <w:highlight w:val="none"/>
                <w:lang w:val="en-US" w:eastAsia="zh-CN"/>
              </w:rPr>
              <w:t>152</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cs="宋体"/>
                <w:b/>
                <w:bCs/>
                <w:color w:val="auto"/>
                <w:sz w:val="20"/>
                <w:szCs w:val="20"/>
                <w:highlight w:val="none"/>
                <w:lang w:val="en-US" w:eastAsia="zh-CN"/>
              </w:rPr>
              <w:t>8</w:t>
            </w: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color w:val="auto"/>
                <w:sz w:val="20"/>
                <w:szCs w:val="20"/>
                <w:highlight w:val="none"/>
              </w:rPr>
            </w:pPr>
          </w:p>
        </w:tc>
      </w:tr>
    </w:tbl>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r>
        <w:rPr>
          <w:rFonts w:hint="default" w:ascii="Times New Roman" w:hAnsi="Times New Roman" w:eastAsia="黑体" w:cs="Times New Roman"/>
          <w:b/>
          <w:color w:val="auto"/>
          <w:szCs w:val="21"/>
          <w:highlight w:val="none"/>
        </w:rPr>
        <w:t>九，教学安排一览表（2）</w:t>
      </w:r>
    </w:p>
    <w:tbl>
      <w:tblPr>
        <w:tblStyle w:val="6"/>
        <w:tblW w:w="7955" w:type="dxa"/>
        <w:jc w:val="center"/>
        <w:tblLayout w:type="fixed"/>
        <w:tblCellMar>
          <w:top w:w="0" w:type="dxa"/>
          <w:left w:w="0" w:type="dxa"/>
          <w:bottom w:w="0" w:type="dxa"/>
          <w:right w:w="0" w:type="dxa"/>
        </w:tblCellMar>
      </w:tblPr>
      <w:tblGrid>
        <w:gridCol w:w="301"/>
        <w:gridCol w:w="425"/>
        <w:gridCol w:w="425"/>
        <w:gridCol w:w="938"/>
        <w:gridCol w:w="2901"/>
        <w:gridCol w:w="366"/>
        <w:gridCol w:w="504"/>
        <w:gridCol w:w="514"/>
        <w:gridCol w:w="567"/>
        <w:gridCol w:w="348"/>
        <w:gridCol w:w="666"/>
      </w:tblGrid>
      <w:tr>
        <w:tblPrEx>
          <w:tblCellMar>
            <w:top w:w="0" w:type="dxa"/>
            <w:left w:w="0" w:type="dxa"/>
            <w:bottom w:w="0" w:type="dxa"/>
            <w:right w:w="0" w:type="dxa"/>
          </w:tblCellMar>
        </w:tblPrEx>
        <w:trPr>
          <w:trHeight w:val="240" w:hRule="atLeast"/>
          <w:jc w:val="center"/>
        </w:trPr>
        <w:tc>
          <w:tcPr>
            <w:tcW w:w="301"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开</w:t>
            </w:r>
          </w:p>
        </w:tc>
        <w:tc>
          <w:tcPr>
            <w:tcW w:w="938"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2901" w:type="dxa"/>
            <w:vMerge w:val="restart"/>
            <w:tcBorders>
              <w:top w:val="single" w:color="auto" w:sz="4" w:space="0"/>
              <w:left w:val="nil"/>
              <w:right w:val="single" w:color="auto" w:sz="4" w:space="0"/>
            </w:tcBorders>
            <w:shd w:val="clear" w:color="auto" w:fill="auto"/>
            <w:vAlign w:val="center"/>
          </w:tcPr>
          <w:p>
            <w:pPr>
              <w:adjustRightInd w:val="0"/>
              <w:snapToGrid w:val="0"/>
              <w:ind w:left="-1"/>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课程名称</w:t>
            </w:r>
          </w:p>
        </w:tc>
        <w:tc>
          <w:tcPr>
            <w:tcW w:w="366"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考</w:t>
            </w:r>
          </w:p>
        </w:tc>
        <w:tc>
          <w:tcPr>
            <w:tcW w:w="504"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tc>
        <w:tc>
          <w:tcPr>
            <w:tcW w:w="514"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tc>
        <w:tc>
          <w:tcPr>
            <w:tcW w:w="567"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理</w:t>
            </w:r>
          </w:p>
        </w:tc>
        <w:tc>
          <w:tcPr>
            <w:tcW w:w="348"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tc>
        <w:tc>
          <w:tcPr>
            <w:tcW w:w="666" w:type="dxa"/>
            <w:tcBorders>
              <w:top w:val="single" w:color="auto" w:sz="4" w:space="0"/>
              <w:left w:val="nil"/>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建议</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25"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25"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938" w:type="dxa"/>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2901" w:type="dxa"/>
            <w:vMerge w:val="continue"/>
            <w:tcBorders>
              <w:left w:val="nil"/>
              <w:right w:val="single" w:color="auto" w:sz="4" w:space="0"/>
            </w:tcBorders>
            <w:shd w:val="clear" w:color="auto" w:fill="auto"/>
            <w:vAlign w:val="center"/>
          </w:tcPr>
          <w:p>
            <w:pPr>
              <w:adjustRightInd w:val="0"/>
              <w:snapToGrid w:val="0"/>
              <w:ind w:left="-1"/>
              <w:jc w:val="left"/>
              <w:rPr>
                <w:rFonts w:hint="eastAsia" w:ascii="宋体" w:hAnsi="宋体" w:eastAsia="宋体" w:cs="宋体"/>
                <w:color w:val="auto"/>
                <w:sz w:val="20"/>
                <w:szCs w:val="20"/>
                <w:highlight w:val="none"/>
              </w:rPr>
            </w:pPr>
          </w:p>
        </w:tc>
        <w:tc>
          <w:tcPr>
            <w:tcW w:w="366"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核</w:t>
            </w:r>
          </w:p>
        </w:tc>
        <w:tc>
          <w:tcPr>
            <w:tcW w:w="504"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514"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567"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论</w:t>
            </w:r>
          </w:p>
        </w:tc>
        <w:tc>
          <w:tcPr>
            <w:tcW w:w="348"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tc>
        <w:tc>
          <w:tcPr>
            <w:tcW w:w="666" w:type="dxa"/>
            <w:tcBorders>
              <w:left w:val="nil"/>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修读</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类</w:t>
            </w:r>
          </w:p>
        </w:tc>
        <w:tc>
          <w:tcPr>
            <w:tcW w:w="425"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性</w:t>
            </w:r>
          </w:p>
        </w:tc>
        <w:tc>
          <w:tcPr>
            <w:tcW w:w="425"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938" w:type="dxa"/>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代</w:t>
            </w:r>
          </w:p>
        </w:tc>
        <w:tc>
          <w:tcPr>
            <w:tcW w:w="2901" w:type="dxa"/>
            <w:vMerge w:val="continue"/>
            <w:tcBorders>
              <w:left w:val="nil"/>
              <w:right w:val="single" w:color="auto" w:sz="4" w:space="0"/>
            </w:tcBorders>
            <w:shd w:val="clear" w:color="auto" w:fill="auto"/>
            <w:vAlign w:val="center"/>
          </w:tcPr>
          <w:p>
            <w:pPr>
              <w:adjustRightInd w:val="0"/>
              <w:snapToGrid w:val="0"/>
              <w:ind w:left="-1"/>
              <w:jc w:val="left"/>
              <w:rPr>
                <w:rFonts w:hint="eastAsia" w:ascii="宋体" w:hAnsi="宋体" w:eastAsia="宋体" w:cs="宋体"/>
                <w:color w:val="auto"/>
                <w:sz w:val="20"/>
                <w:szCs w:val="20"/>
                <w:highlight w:val="none"/>
              </w:rPr>
            </w:pPr>
          </w:p>
        </w:tc>
        <w:tc>
          <w:tcPr>
            <w:tcW w:w="366"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方</w:t>
            </w:r>
          </w:p>
        </w:tc>
        <w:tc>
          <w:tcPr>
            <w:tcW w:w="504"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分</w:t>
            </w:r>
          </w:p>
        </w:tc>
        <w:tc>
          <w:tcPr>
            <w:tcW w:w="514"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567"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348" w:type="dxa"/>
            <w:tcBorders>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666" w:type="dxa"/>
            <w:tcBorders>
              <w:left w:val="nil"/>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学期</w:t>
            </w:r>
          </w:p>
        </w:tc>
      </w:tr>
      <w:tr>
        <w:tblPrEx>
          <w:tblCellMar>
            <w:top w:w="0" w:type="dxa"/>
            <w:left w:w="0" w:type="dxa"/>
            <w:bottom w:w="0" w:type="dxa"/>
            <w:right w:w="0" w:type="dxa"/>
          </w:tblCellMar>
        </w:tblPrEx>
        <w:trPr>
          <w:trHeight w:val="81" w:hRule="atLeast"/>
          <w:jc w:val="center"/>
        </w:trPr>
        <w:tc>
          <w:tcPr>
            <w:tcW w:w="301" w:type="dxa"/>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别</w:t>
            </w:r>
          </w:p>
        </w:tc>
        <w:tc>
          <w:tcPr>
            <w:tcW w:w="425" w:type="dxa"/>
            <w:tcBorders>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质</w:t>
            </w:r>
          </w:p>
        </w:tc>
        <w:tc>
          <w:tcPr>
            <w:tcW w:w="425" w:type="dxa"/>
            <w:tcBorders>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院</w:t>
            </w:r>
          </w:p>
        </w:tc>
        <w:tc>
          <w:tcPr>
            <w:tcW w:w="938" w:type="dxa"/>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码</w:t>
            </w:r>
          </w:p>
        </w:tc>
        <w:tc>
          <w:tcPr>
            <w:tcW w:w="2901" w:type="dxa"/>
            <w:vMerge w:val="continue"/>
            <w:tcBorders>
              <w:left w:val="nil"/>
              <w:bottom w:val="single" w:color="auto" w:sz="4" w:space="0"/>
              <w:right w:val="single" w:color="auto" w:sz="4" w:space="0"/>
            </w:tcBorders>
            <w:shd w:val="clear" w:color="auto" w:fill="auto"/>
            <w:vAlign w:val="center"/>
          </w:tcPr>
          <w:p>
            <w:pPr>
              <w:adjustRightInd w:val="0"/>
              <w:snapToGrid w:val="0"/>
              <w:ind w:left="-1"/>
              <w:jc w:val="left"/>
              <w:rPr>
                <w:rFonts w:hint="eastAsia" w:ascii="宋体" w:hAnsi="宋体" w:eastAsia="宋体" w:cs="宋体"/>
                <w:color w:val="auto"/>
                <w:sz w:val="20"/>
                <w:szCs w:val="20"/>
                <w:highlight w:val="none"/>
              </w:rPr>
            </w:pPr>
          </w:p>
        </w:tc>
        <w:tc>
          <w:tcPr>
            <w:tcW w:w="366" w:type="dxa"/>
            <w:tcBorders>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式</w:t>
            </w:r>
          </w:p>
        </w:tc>
        <w:tc>
          <w:tcPr>
            <w:tcW w:w="504" w:type="dxa"/>
            <w:tcBorders>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514" w:type="dxa"/>
            <w:tcBorders>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567" w:type="dxa"/>
            <w:tcBorders>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348" w:type="dxa"/>
            <w:tcBorders>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666" w:type="dxa"/>
            <w:tcBorders>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312" w:hRule="exact"/>
          <w:jc w:val="center"/>
        </w:trPr>
        <w:tc>
          <w:tcPr>
            <w:tcW w:w="301" w:type="dxa"/>
            <w:vMerge w:val="restart"/>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工程基础课</w:t>
            </w: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b2011169</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程序设计基础</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b2013182</w:t>
            </w:r>
          </w:p>
        </w:tc>
        <w:tc>
          <w:tcPr>
            <w:tcW w:w="2901"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现代工程制图</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工训</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b2011031</w:t>
            </w:r>
          </w:p>
        </w:tc>
        <w:tc>
          <w:tcPr>
            <w:tcW w:w="2901"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电路</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b2011539</w:t>
            </w:r>
          </w:p>
        </w:tc>
        <w:tc>
          <w:tcPr>
            <w:tcW w:w="2901"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工程力学</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工训</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b2012060</w:t>
            </w:r>
          </w:p>
        </w:tc>
        <w:tc>
          <w:tcPr>
            <w:tcW w:w="2901"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模拟电子技术</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36</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工训</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b2012099</w:t>
            </w:r>
          </w:p>
        </w:tc>
        <w:tc>
          <w:tcPr>
            <w:tcW w:w="2901"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数字电子技术</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36</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bookmarkStart w:id="0" w:name="_Hlk158640371"/>
            <w:r>
              <w:rPr>
                <w:rFonts w:hint="eastAsia" w:ascii="宋体" w:hAnsi="宋体" w:eastAsia="宋体" w:cs="宋体"/>
                <w:color w:val="auto"/>
                <w:sz w:val="20"/>
                <w:szCs w:val="20"/>
                <w:highlight w:val="none"/>
              </w:rPr>
              <w:t>b2011045</w:t>
            </w:r>
            <w:bookmarkEnd w:id="0"/>
          </w:p>
        </w:tc>
        <w:tc>
          <w:tcPr>
            <w:tcW w:w="2901"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工程光学</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　</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tblCellMar>
            <w:top w:w="0" w:type="dxa"/>
            <w:left w:w="0" w:type="dxa"/>
            <w:bottom w:w="0" w:type="dxa"/>
            <w:right w:w="0" w:type="dxa"/>
          </w:tblCellMar>
        </w:tblPrEx>
        <w:trPr>
          <w:trHeight w:val="312"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 xml:space="preserve">               小   计（工程基础课）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bCs/>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20</w:t>
            </w:r>
          </w:p>
        </w:tc>
        <w:tc>
          <w:tcPr>
            <w:tcW w:w="514"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320</w:t>
            </w: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240</w:t>
            </w:r>
          </w:p>
        </w:tc>
        <w:tc>
          <w:tcPr>
            <w:tcW w:w="348"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80</w:t>
            </w:r>
          </w:p>
        </w:tc>
        <w:tc>
          <w:tcPr>
            <w:tcW w:w="66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bCs/>
                <w:color w:val="auto"/>
                <w:sz w:val="20"/>
                <w:szCs w:val="20"/>
                <w:highlight w:val="none"/>
              </w:rPr>
            </w:pPr>
          </w:p>
        </w:tc>
      </w:tr>
      <w:tr>
        <w:tblPrEx>
          <w:tblCellMar>
            <w:top w:w="0" w:type="dxa"/>
            <w:left w:w="0" w:type="dxa"/>
            <w:bottom w:w="0" w:type="dxa"/>
            <w:right w:w="0" w:type="dxa"/>
          </w:tblCellMar>
        </w:tblPrEx>
        <w:trPr>
          <w:trHeight w:val="312" w:hRule="exact"/>
          <w:jc w:val="center"/>
        </w:trPr>
        <w:tc>
          <w:tcPr>
            <w:tcW w:w="301" w:type="dxa"/>
            <w:vMerge w:val="restart"/>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专业基础课</w:t>
            </w: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b2011296</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测控技术与仪器专业导论</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14</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　</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秋1 </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b2011257</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单片机技术基础</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b2011471</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信号与系统</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36</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b2011418</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精密机械基础</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26</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6</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b2011520</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科技论文写作与文献检索</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b2011292</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自动控制原理</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36</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b2011550</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传感器原理</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36</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b2011551</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测控总线与仪器通信技术</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312"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小    计（专业基础课）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bCs/>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16</w:t>
            </w:r>
          </w:p>
        </w:tc>
        <w:tc>
          <w:tcPr>
            <w:tcW w:w="514"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256</w:t>
            </w: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kern w:val="0"/>
                <w:sz w:val="20"/>
                <w:szCs w:val="20"/>
                <w:highlight w:val="none"/>
                <w:lang w:bidi="ar"/>
              </w:rPr>
              <w:t>20</w:t>
            </w:r>
            <w:r>
              <w:rPr>
                <w:rFonts w:hint="eastAsia" w:ascii="宋体" w:hAnsi="宋体" w:eastAsia="宋体" w:cs="宋体"/>
                <w:b/>
                <w:bCs/>
                <w:color w:val="auto"/>
                <w:kern w:val="0"/>
                <w:sz w:val="20"/>
                <w:szCs w:val="20"/>
                <w:highlight w:val="none"/>
                <w:lang w:val="en-US" w:eastAsia="zh-CN" w:bidi="ar"/>
              </w:rPr>
              <w:t>8</w:t>
            </w:r>
          </w:p>
        </w:tc>
        <w:tc>
          <w:tcPr>
            <w:tcW w:w="348"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kern w:val="0"/>
                <w:sz w:val="20"/>
                <w:szCs w:val="20"/>
                <w:highlight w:val="none"/>
                <w:lang w:val="en-US" w:eastAsia="zh-CN" w:bidi="ar"/>
              </w:rPr>
              <w:t>48</w:t>
            </w:r>
          </w:p>
        </w:tc>
        <w:tc>
          <w:tcPr>
            <w:tcW w:w="666" w:type="dxa"/>
            <w:tcBorders>
              <w:top w:val="nil"/>
              <w:left w:val="nil"/>
              <w:bottom w:val="single" w:color="auto" w:sz="4" w:space="0"/>
              <w:right w:val="single" w:color="auto" w:sz="4" w:space="0"/>
            </w:tcBorders>
            <w:shd w:val="clear" w:color="auto" w:fill="D8D8D8" w:themeFill="background1" w:themeFillShade="D9"/>
          </w:tcPr>
          <w:p>
            <w:pPr>
              <w:jc w:val="center"/>
              <w:rPr>
                <w:rFonts w:hint="eastAsia" w:ascii="宋体" w:hAnsi="宋体" w:eastAsia="宋体" w:cs="宋体"/>
                <w:b/>
                <w:bCs/>
                <w:color w:val="auto"/>
                <w:sz w:val="20"/>
                <w:szCs w:val="20"/>
                <w:highlight w:val="none"/>
              </w:rPr>
            </w:pPr>
          </w:p>
        </w:tc>
      </w:tr>
      <w:tr>
        <w:tblPrEx>
          <w:tblCellMar>
            <w:top w:w="0" w:type="dxa"/>
            <w:left w:w="0" w:type="dxa"/>
            <w:bottom w:w="0" w:type="dxa"/>
            <w:right w:w="0" w:type="dxa"/>
          </w:tblCellMar>
        </w:tblPrEx>
        <w:trPr>
          <w:trHeight w:val="312" w:hRule="exact"/>
          <w:jc w:val="center"/>
        </w:trPr>
        <w:tc>
          <w:tcPr>
            <w:tcW w:w="301"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专</w:t>
            </w: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业</w:t>
            </w: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bookmarkStart w:id="1" w:name="_Hlk158640640"/>
            <w:r>
              <w:rPr>
                <w:rFonts w:hint="eastAsia" w:ascii="宋体" w:hAnsi="宋体" w:eastAsia="宋体" w:cs="宋体"/>
                <w:color w:val="auto"/>
                <w:sz w:val="20"/>
                <w:szCs w:val="20"/>
                <w:highlight w:val="none"/>
              </w:rPr>
              <w:t>b2011235</w:t>
            </w:r>
            <w:bookmarkEnd w:id="1"/>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虚拟仪器技术</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36</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b2011006</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PLC原理及应用</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b2011547</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数字图像处理</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bookmarkStart w:id="2" w:name="_Hlk158641463"/>
            <w:r>
              <w:rPr>
                <w:rFonts w:hint="eastAsia" w:ascii="宋体" w:hAnsi="宋体" w:eastAsia="宋体" w:cs="宋体"/>
                <w:color w:val="auto"/>
                <w:sz w:val="20"/>
                <w:szCs w:val="20"/>
                <w:highlight w:val="none"/>
              </w:rPr>
              <w:t>b2011298</w:t>
            </w:r>
            <w:bookmarkEnd w:id="2"/>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智能仪器技术</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b2011297</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运动控制系统</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p>
            <w:pPr>
              <w:rPr>
                <w:rFonts w:hint="eastAsia" w:ascii="宋体" w:hAnsi="宋体" w:eastAsia="宋体" w:cs="宋体"/>
                <w:color w:val="auto"/>
                <w:sz w:val="20"/>
                <w:szCs w:val="20"/>
                <w:highlight w:val="none"/>
              </w:rPr>
            </w:pP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b2011131</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误差理论与数据处理</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bookmarkStart w:id="3" w:name="_Hlk158640592"/>
            <w:r>
              <w:rPr>
                <w:rFonts w:hint="eastAsia" w:ascii="宋体" w:hAnsi="宋体" w:eastAsia="宋体" w:cs="宋体"/>
                <w:color w:val="auto"/>
                <w:sz w:val="20"/>
                <w:szCs w:val="20"/>
                <w:highlight w:val="none"/>
              </w:rPr>
              <w:t>b2011056</w:t>
            </w:r>
            <w:bookmarkEnd w:id="3"/>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bookmarkStart w:id="4" w:name="_Hlk158640570"/>
            <w:r>
              <w:rPr>
                <w:rFonts w:hint="eastAsia" w:ascii="宋体" w:hAnsi="宋体" w:eastAsia="宋体" w:cs="宋体"/>
                <w:color w:val="auto"/>
                <w:sz w:val="20"/>
                <w:szCs w:val="20"/>
                <w:highlight w:val="none"/>
              </w:rPr>
              <w:t>工业自动化与机器人技术</w:t>
            </w:r>
            <w:bookmarkEnd w:id="4"/>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b2011143</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项目管理</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26</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689"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小    计（专业必修课）</w:t>
            </w:r>
          </w:p>
        </w:tc>
        <w:tc>
          <w:tcPr>
            <w:tcW w:w="366" w:type="dxa"/>
            <w:tcBorders>
              <w:top w:val="nil"/>
              <w:left w:val="nil"/>
              <w:bottom w:val="single" w:color="auto" w:sz="4" w:space="0"/>
              <w:right w:val="single" w:color="auto" w:sz="4" w:space="0"/>
            </w:tcBorders>
            <w:shd w:val="clear" w:color="auto" w:fill="auto"/>
          </w:tcPr>
          <w:p>
            <w:pPr>
              <w:jc w:val="center"/>
              <w:rPr>
                <w:rFonts w:hint="eastAsia" w:ascii="宋体" w:hAnsi="宋体" w:eastAsia="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17</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272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206</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66</w:t>
            </w:r>
          </w:p>
        </w:tc>
        <w:tc>
          <w:tcPr>
            <w:tcW w:w="666" w:type="dxa"/>
            <w:tcBorders>
              <w:top w:val="nil"/>
              <w:left w:val="nil"/>
              <w:bottom w:val="single" w:color="auto" w:sz="4" w:space="0"/>
              <w:right w:val="single" w:color="auto" w:sz="4" w:space="0"/>
            </w:tcBorders>
            <w:shd w:val="clear" w:color="auto" w:fill="auto"/>
          </w:tcPr>
          <w:p>
            <w:pPr>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vMerge w:val="restart"/>
            <w:tcBorders>
              <w:left w:val="nil"/>
              <w:right w:val="single" w:color="auto" w:sz="4" w:space="0"/>
            </w:tcBorders>
            <w:shd w:val="clear" w:color="auto" w:fill="auto"/>
            <w:vAlign w:val="center"/>
          </w:tcPr>
          <w:p>
            <w:pPr>
              <w:jc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选</w:t>
            </w:r>
          </w:p>
          <w:p>
            <w:pPr>
              <w:jc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修</w:t>
            </w:r>
          </w:p>
          <w:p>
            <w:pPr>
              <w:jc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8</w:t>
            </w:r>
          </w:p>
          <w:p>
            <w:pPr>
              <w:jc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学</w:t>
            </w:r>
          </w:p>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分</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jc w:val="center"/>
              <w:rPr>
                <w:rFonts w:hint="eastAsia" w:ascii="宋体" w:hAnsi="宋体" w:eastAsia="宋体" w:cs="宋体"/>
                <w:strike w:val="0"/>
                <w:dstrike w:val="0"/>
                <w:color w:val="auto"/>
                <w:sz w:val="20"/>
                <w:szCs w:val="20"/>
                <w:highlight w:val="none"/>
              </w:rPr>
            </w:pPr>
            <w:r>
              <w:rPr>
                <w:rFonts w:hint="eastAsia" w:ascii="宋体" w:hAnsi="宋体" w:eastAsia="宋体" w:cs="宋体"/>
                <w:strike w:val="0"/>
                <w:dstrike w:val="0"/>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trike w:val="0"/>
                <w:dstrike w:val="0"/>
                <w:color w:val="auto"/>
                <w:sz w:val="20"/>
                <w:szCs w:val="20"/>
                <w:highlight w:val="none"/>
              </w:rPr>
            </w:pPr>
            <w:r>
              <w:rPr>
                <w:rFonts w:hint="eastAsia" w:ascii="宋体" w:hAnsi="宋体" w:eastAsia="宋体" w:cs="宋体"/>
                <w:strike w:val="0"/>
                <w:dstrike w:val="0"/>
                <w:color w:val="auto"/>
                <w:sz w:val="20"/>
                <w:szCs w:val="20"/>
                <w:highlight w:val="none"/>
              </w:rPr>
              <w:t>b2011135</w:t>
            </w:r>
          </w:p>
        </w:tc>
        <w:tc>
          <w:tcPr>
            <w:tcW w:w="2901"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strike w:val="0"/>
                <w:dstrike w:val="0"/>
                <w:color w:val="auto"/>
                <w:sz w:val="20"/>
                <w:szCs w:val="20"/>
                <w:highlight w:val="none"/>
              </w:rPr>
            </w:pPr>
            <w:r>
              <w:rPr>
                <w:rFonts w:hint="eastAsia" w:ascii="宋体" w:hAnsi="宋体" w:eastAsia="宋体" w:cs="宋体"/>
                <w:strike w:val="0"/>
                <w:dstrike w:val="0"/>
                <w:color w:val="auto"/>
                <w:sz w:val="20"/>
                <w:szCs w:val="20"/>
                <w:highlight w:val="none"/>
              </w:rPr>
              <w:t>先进制造技术</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trike w:val="0"/>
                <w:dstrike w:val="0"/>
                <w:color w:val="auto"/>
                <w:sz w:val="20"/>
                <w:szCs w:val="20"/>
                <w:highlight w:val="none"/>
              </w:rPr>
            </w:pPr>
            <w:r>
              <w:rPr>
                <w:rFonts w:hint="eastAsia" w:ascii="宋体" w:hAnsi="宋体" w:eastAsia="宋体" w:cs="宋体"/>
                <w:strike w:val="0"/>
                <w:dstrike w:val="0"/>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trike w:val="0"/>
                <w:dstrike w:val="0"/>
                <w:color w:val="auto"/>
                <w:sz w:val="20"/>
                <w:szCs w:val="20"/>
                <w:highlight w:val="none"/>
              </w:rPr>
            </w:pPr>
            <w:r>
              <w:rPr>
                <w:rFonts w:hint="eastAsia" w:ascii="宋体" w:hAnsi="宋体" w:eastAsia="宋体" w:cs="宋体"/>
                <w:strike w:val="0"/>
                <w:dstrike w:val="0"/>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trike w:val="0"/>
                <w:dstrike w:val="0"/>
                <w:color w:val="auto"/>
                <w:sz w:val="20"/>
                <w:szCs w:val="20"/>
                <w:highlight w:val="none"/>
              </w:rPr>
            </w:pPr>
            <w:r>
              <w:rPr>
                <w:rFonts w:hint="eastAsia" w:ascii="宋体" w:hAnsi="宋体" w:eastAsia="宋体" w:cs="宋体"/>
                <w:strike w:val="0"/>
                <w:dstrike w:val="0"/>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default" w:ascii="宋体" w:hAnsi="宋体" w:eastAsia="宋体" w:cs="宋体"/>
                <w:strike w:val="0"/>
                <w:dstrike w:val="0"/>
                <w:color w:val="auto"/>
                <w:sz w:val="20"/>
                <w:szCs w:val="20"/>
                <w:highlight w:val="none"/>
                <w:lang w:val="en-US" w:eastAsia="zh-CN"/>
              </w:rPr>
            </w:pPr>
            <w:r>
              <w:rPr>
                <w:rFonts w:hint="eastAsia" w:ascii="宋体" w:hAnsi="宋体" w:cs="宋体"/>
                <w:strike w:val="0"/>
                <w:dstrike w:val="0"/>
                <w:color w:val="auto"/>
                <w:sz w:val="20"/>
                <w:szCs w:val="20"/>
                <w:highlight w:val="none"/>
                <w:lang w:val="en-US" w:eastAsia="zh-CN"/>
              </w:rPr>
              <w:t>26</w:t>
            </w:r>
          </w:p>
        </w:tc>
        <w:tc>
          <w:tcPr>
            <w:tcW w:w="34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trike w:val="0"/>
                <w:dstrike w:val="0"/>
                <w:color w:val="auto"/>
                <w:sz w:val="20"/>
                <w:szCs w:val="20"/>
                <w:highlight w:val="none"/>
                <w:lang w:eastAsia="zh-CN"/>
              </w:rPr>
            </w:pPr>
            <w:r>
              <w:rPr>
                <w:rFonts w:hint="eastAsia" w:ascii="宋体" w:hAnsi="宋体" w:cs="宋体"/>
                <w:strike w:val="0"/>
                <w:dstrike w:val="0"/>
                <w:color w:val="auto"/>
                <w:sz w:val="20"/>
                <w:szCs w:val="20"/>
                <w:highlight w:val="none"/>
                <w:lang w:val="en-US" w:eastAsia="zh-CN"/>
              </w:rPr>
              <w:t>6</w:t>
            </w:r>
          </w:p>
        </w:tc>
        <w:tc>
          <w:tcPr>
            <w:tcW w:w="6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trike w:val="0"/>
                <w:dstrike w:val="0"/>
                <w:color w:val="auto"/>
                <w:sz w:val="20"/>
                <w:szCs w:val="20"/>
                <w:highlight w:val="none"/>
              </w:rPr>
            </w:pPr>
            <w:r>
              <w:rPr>
                <w:rFonts w:hint="eastAsia" w:ascii="宋体" w:hAnsi="宋体" w:eastAsia="宋体" w:cs="宋体"/>
                <w:strike w:val="0"/>
                <w:dstrike w:val="0"/>
                <w:color w:val="auto"/>
                <w:sz w:val="20"/>
                <w:szCs w:val="20"/>
                <w:highlight w:val="none"/>
              </w:rPr>
              <w:t>春3</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b2011014</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测控技术应用</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8</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秋4</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b2011542</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机器视觉与工业检测</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8</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p>
            <w:pPr>
              <w:jc w:val="center"/>
              <w:rPr>
                <w:rFonts w:hint="eastAsia" w:ascii="宋体" w:hAnsi="宋体" w:eastAsia="宋体" w:cs="宋体"/>
                <w:color w:val="auto"/>
                <w:sz w:val="20"/>
                <w:szCs w:val="20"/>
                <w:highlight w:val="none"/>
              </w:rPr>
            </w:pP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b2011543</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虚拟现实技术</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8</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秋4</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b2011275</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现代控制理论</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8</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秋4</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bookmarkStart w:id="5" w:name="_Hlk158641611"/>
          </w:p>
        </w:tc>
        <w:tc>
          <w:tcPr>
            <w:tcW w:w="425"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b2011522</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人工智能技术及应用</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26</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lang w:val="en-US" w:eastAsia="zh-CN"/>
              </w:rPr>
              <w:t>6</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春3</w:t>
            </w:r>
          </w:p>
        </w:tc>
      </w:tr>
      <w:bookmarkEnd w:id="5"/>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b2011552</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Python编程</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6</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6</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秋4</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b2011553</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质量管理</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8</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春3</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w:t>
            </w:r>
          </w:p>
        </w:tc>
        <w:tc>
          <w:tcPr>
            <w:tcW w:w="425"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b2011273</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微机原理与接口技术</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8</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春3</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b2011554</w:t>
            </w:r>
          </w:p>
        </w:tc>
        <w:tc>
          <w:tcPr>
            <w:tcW w:w="2901"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电动汽车驱动与控制</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查</w:t>
            </w: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28</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w:t>
            </w:r>
          </w:p>
        </w:tc>
        <w:tc>
          <w:tcPr>
            <w:tcW w:w="6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春3</w:t>
            </w:r>
          </w:p>
        </w:tc>
      </w:tr>
      <w:tr>
        <w:tblPrEx>
          <w:tblCellMar>
            <w:top w:w="0" w:type="dxa"/>
            <w:left w:w="0" w:type="dxa"/>
            <w:bottom w:w="0" w:type="dxa"/>
            <w:right w:w="0" w:type="dxa"/>
          </w:tblCellMar>
        </w:tblPrEx>
        <w:trPr>
          <w:trHeight w:val="31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689"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     计（专业选修课）</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8</w:t>
            </w:r>
          </w:p>
        </w:tc>
        <w:tc>
          <w:tcPr>
            <w:tcW w:w="51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128</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lang w:val="en-US" w:eastAsia="zh-CN"/>
              </w:rPr>
              <w:t>112</w:t>
            </w:r>
            <w:r>
              <w:rPr>
                <w:rFonts w:hint="eastAsia" w:ascii="宋体" w:hAnsi="宋体" w:eastAsia="宋体" w:cs="宋体"/>
                <w:b/>
                <w:color w:val="auto"/>
                <w:sz w:val="20"/>
                <w:szCs w:val="20"/>
                <w:highlight w:val="none"/>
              </w:rPr>
              <w:t xml:space="preserve">          </w:t>
            </w:r>
          </w:p>
        </w:tc>
        <w:tc>
          <w:tcPr>
            <w:tcW w:w="34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lang w:val="en-US" w:eastAsia="zh-CN"/>
              </w:rPr>
              <w:t>16</w:t>
            </w:r>
            <w:r>
              <w:rPr>
                <w:rFonts w:hint="eastAsia" w:ascii="宋体" w:hAnsi="宋体" w:eastAsia="宋体" w:cs="宋体"/>
                <w:b/>
                <w:color w:val="auto"/>
                <w:sz w:val="20"/>
                <w:szCs w:val="20"/>
                <w:highlight w:val="none"/>
              </w:rPr>
              <w:t xml:space="preserve">                </w:t>
            </w:r>
          </w:p>
        </w:tc>
        <w:tc>
          <w:tcPr>
            <w:tcW w:w="666" w:type="dxa"/>
            <w:tcBorders>
              <w:top w:val="nil"/>
              <w:left w:val="nil"/>
              <w:bottom w:val="single" w:color="auto" w:sz="4" w:space="0"/>
              <w:right w:val="single" w:color="auto" w:sz="4" w:space="0"/>
            </w:tcBorders>
            <w:shd w:val="clear" w:color="auto" w:fill="auto"/>
          </w:tcPr>
          <w:p>
            <w:pPr>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312"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      计（专业课）</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5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25</w:t>
            </w:r>
          </w:p>
        </w:tc>
        <w:tc>
          <w:tcPr>
            <w:tcW w:w="51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400</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rPr>
              <w:t>3</w:t>
            </w:r>
            <w:r>
              <w:rPr>
                <w:rFonts w:hint="eastAsia" w:ascii="宋体" w:hAnsi="宋体" w:eastAsia="宋体" w:cs="宋体"/>
                <w:b/>
                <w:color w:val="auto"/>
                <w:sz w:val="20"/>
                <w:szCs w:val="20"/>
                <w:highlight w:val="none"/>
                <w:lang w:val="en-US" w:eastAsia="zh-CN"/>
              </w:rPr>
              <w:t>18</w:t>
            </w:r>
          </w:p>
        </w:tc>
        <w:tc>
          <w:tcPr>
            <w:tcW w:w="34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lang w:val="en-US" w:eastAsia="zh-CN"/>
              </w:rPr>
              <w:t>82</w:t>
            </w:r>
          </w:p>
        </w:tc>
        <w:tc>
          <w:tcPr>
            <w:tcW w:w="66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center"/>
              <w:rPr>
                <w:rFonts w:hint="eastAsia" w:ascii="宋体" w:hAnsi="宋体" w:eastAsia="宋体" w:cs="宋体"/>
                <w:b/>
                <w:color w:val="auto"/>
                <w:sz w:val="20"/>
                <w:szCs w:val="20"/>
                <w:highlight w:val="none"/>
              </w:rPr>
            </w:pPr>
          </w:p>
        </w:tc>
      </w:tr>
    </w:tbl>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r>
        <w:rPr>
          <w:rFonts w:hint="default" w:ascii="Times New Roman" w:hAnsi="Times New Roman" w:eastAsia="黑体" w:cs="Times New Roman"/>
          <w:b/>
          <w:color w:val="auto"/>
          <w:szCs w:val="21"/>
          <w:highlight w:val="none"/>
        </w:rPr>
        <w:t>九，教学安排一览表（3）</w:t>
      </w:r>
    </w:p>
    <w:tbl>
      <w:tblPr>
        <w:tblStyle w:val="6"/>
        <w:tblW w:w="8310" w:type="dxa"/>
        <w:jc w:val="center"/>
        <w:shd w:val="clear" w:color="auto" w:fill="FFFFFF" w:themeFill="background1"/>
        <w:tblLayout w:type="fixed"/>
        <w:tblCellMar>
          <w:top w:w="0" w:type="dxa"/>
          <w:left w:w="0" w:type="dxa"/>
          <w:bottom w:w="0" w:type="dxa"/>
          <w:right w:w="0" w:type="dxa"/>
        </w:tblCellMar>
      </w:tblPr>
      <w:tblGrid>
        <w:gridCol w:w="308"/>
        <w:gridCol w:w="434"/>
        <w:gridCol w:w="415"/>
        <w:gridCol w:w="19"/>
        <w:gridCol w:w="950"/>
        <w:gridCol w:w="2999"/>
        <w:gridCol w:w="403"/>
        <w:gridCol w:w="567"/>
        <w:gridCol w:w="567"/>
        <w:gridCol w:w="425"/>
        <w:gridCol w:w="567"/>
        <w:gridCol w:w="656"/>
      </w:tblGrid>
      <w:tr>
        <w:tblPrEx>
          <w:tblCellMar>
            <w:top w:w="0" w:type="dxa"/>
            <w:left w:w="0" w:type="dxa"/>
            <w:bottom w:w="0" w:type="dxa"/>
            <w:right w:w="0" w:type="dxa"/>
          </w:tblCellMar>
        </w:tblPrEx>
        <w:trPr>
          <w:trHeight w:val="240" w:hRule="atLeast"/>
          <w:jc w:val="center"/>
        </w:trPr>
        <w:tc>
          <w:tcPr>
            <w:tcW w:w="308"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34"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1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开</w:t>
            </w:r>
          </w:p>
        </w:tc>
        <w:tc>
          <w:tcPr>
            <w:tcW w:w="969" w:type="dxa"/>
            <w:gridSpan w:val="2"/>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2999"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p>
        </w:tc>
        <w:tc>
          <w:tcPr>
            <w:tcW w:w="403"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考</w:t>
            </w:r>
          </w:p>
        </w:tc>
        <w:tc>
          <w:tcPr>
            <w:tcW w:w="56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tc>
        <w:tc>
          <w:tcPr>
            <w:tcW w:w="56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理</w:t>
            </w:r>
          </w:p>
        </w:tc>
        <w:tc>
          <w:tcPr>
            <w:tcW w:w="56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tc>
        <w:tc>
          <w:tcPr>
            <w:tcW w:w="656"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建议</w:t>
            </w:r>
          </w:p>
        </w:tc>
      </w:tr>
      <w:tr>
        <w:tblPrEx>
          <w:shd w:val="clear" w:color="auto" w:fill="FFFFFF" w:themeFill="background1"/>
          <w:tblCellMar>
            <w:top w:w="0" w:type="dxa"/>
            <w:left w:w="0" w:type="dxa"/>
            <w:bottom w:w="0" w:type="dxa"/>
            <w:right w:w="0" w:type="dxa"/>
          </w:tblCellMar>
        </w:tblPrEx>
        <w:trPr>
          <w:trHeight w:val="240" w:hRule="atLeast"/>
          <w:jc w:val="center"/>
        </w:trPr>
        <w:tc>
          <w:tcPr>
            <w:tcW w:w="308" w:type="dxa"/>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34" w:type="dxa"/>
            <w:tcBorders>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15" w:type="dxa"/>
            <w:tcBorders>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969" w:type="dxa"/>
            <w:gridSpan w:val="2"/>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2999" w:type="dxa"/>
            <w:tcBorders>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课程名称</w:t>
            </w:r>
          </w:p>
        </w:tc>
        <w:tc>
          <w:tcPr>
            <w:tcW w:w="403" w:type="dxa"/>
            <w:tcBorders>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核</w:t>
            </w:r>
          </w:p>
        </w:tc>
        <w:tc>
          <w:tcPr>
            <w:tcW w:w="567" w:type="dxa"/>
            <w:tcBorders>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567" w:type="dxa"/>
            <w:tcBorders>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425" w:type="dxa"/>
            <w:tcBorders>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论</w:t>
            </w:r>
          </w:p>
        </w:tc>
        <w:tc>
          <w:tcPr>
            <w:tcW w:w="567" w:type="dxa"/>
            <w:tcBorders>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tc>
        <w:tc>
          <w:tcPr>
            <w:tcW w:w="656" w:type="dxa"/>
            <w:tcBorders>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修读</w:t>
            </w:r>
          </w:p>
        </w:tc>
      </w:tr>
      <w:tr>
        <w:tblPrEx>
          <w:tblCellMar>
            <w:top w:w="0" w:type="dxa"/>
            <w:left w:w="0" w:type="dxa"/>
            <w:bottom w:w="0" w:type="dxa"/>
            <w:right w:w="0" w:type="dxa"/>
          </w:tblCellMar>
        </w:tblPrEx>
        <w:trPr>
          <w:trHeight w:val="240" w:hRule="atLeast"/>
          <w:jc w:val="center"/>
        </w:trPr>
        <w:tc>
          <w:tcPr>
            <w:tcW w:w="308" w:type="dxa"/>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类</w:t>
            </w:r>
          </w:p>
        </w:tc>
        <w:tc>
          <w:tcPr>
            <w:tcW w:w="434" w:type="dxa"/>
            <w:tcBorders>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性</w:t>
            </w:r>
          </w:p>
        </w:tc>
        <w:tc>
          <w:tcPr>
            <w:tcW w:w="415" w:type="dxa"/>
            <w:tcBorders>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969" w:type="dxa"/>
            <w:gridSpan w:val="2"/>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代</w:t>
            </w:r>
          </w:p>
        </w:tc>
        <w:tc>
          <w:tcPr>
            <w:tcW w:w="2999" w:type="dxa"/>
            <w:tcBorders>
              <w:left w:val="nil"/>
              <w:right w:val="single" w:color="auto" w:sz="4" w:space="0"/>
            </w:tcBorders>
            <w:shd w:val="clear" w:color="auto" w:fill="FFFFFF" w:themeFill="background1"/>
            <w:vAlign w:val="center"/>
          </w:tcPr>
          <w:p>
            <w:pPr>
              <w:adjustRightInd w:val="0"/>
              <w:snapToGrid w:val="0"/>
              <w:rPr>
                <w:rFonts w:hint="eastAsia" w:ascii="宋体" w:hAnsi="宋体" w:eastAsia="宋体" w:cs="宋体"/>
                <w:b/>
                <w:color w:val="auto"/>
                <w:sz w:val="20"/>
                <w:szCs w:val="20"/>
                <w:highlight w:val="none"/>
              </w:rPr>
            </w:pPr>
          </w:p>
        </w:tc>
        <w:tc>
          <w:tcPr>
            <w:tcW w:w="403" w:type="dxa"/>
            <w:tcBorders>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方</w:t>
            </w:r>
          </w:p>
        </w:tc>
        <w:tc>
          <w:tcPr>
            <w:tcW w:w="567" w:type="dxa"/>
            <w:tcBorders>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分</w:t>
            </w:r>
          </w:p>
        </w:tc>
        <w:tc>
          <w:tcPr>
            <w:tcW w:w="567" w:type="dxa"/>
            <w:tcBorders>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425" w:type="dxa"/>
            <w:tcBorders>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567" w:type="dxa"/>
            <w:tcBorders>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656" w:type="dxa"/>
            <w:tcBorders>
              <w:left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学期</w:t>
            </w:r>
          </w:p>
        </w:tc>
      </w:tr>
      <w:tr>
        <w:tblPrEx>
          <w:tblCellMar>
            <w:top w:w="0" w:type="dxa"/>
            <w:left w:w="0" w:type="dxa"/>
            <w:bottom w:w="0" w:type="dxa"/>
            <w:right w:w="0" w:type="dxa"/>
          </w:tblCellMar>
        </w:tblPrEx>
        <w:trPr>
          <w:trHeight w:val="240" w:hRule="atLeast"/>
          <w:jc w:val="center"/>
        </w:trPr>
        <w:tc>
          <w:tcPr>
            <w:tcW w:w="308" w:type="dxa"/>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别</w:t>
            </w:r>
          </w:p>
        </w:tc>
        <w:tc>
          <w:tcPr>
            <w:tcW w:w="434"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质</w:t>
            </w:r>
          </w:p>
        </w:tc>
        <w:tc>
          <w:tcPr>
            <w:tcW w:w="415"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院</w:t>
            </w:r>
          </w:p>
        </w:tc>
        <w:tc>
          <w:tcPr>
            <w:tcW w:w="969" w:type="dxa"/>
            <w:gridSpan w:val="2"/>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码</w:t>
            </w:r>
          </w:p>
        </w:tc>
        <w:tc>
          <w:tcPr>
            <w:tcW w:w="2999" w:type="dxa"/>
            <w:tcBorders>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p>
        </w:tc>
        <w:tc>
          <w:tcPr>
            <w:tcW w:w="403"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式</w:t>
            </w:r>
          </w:p>
        </w:tc>
        <w:tc>
          <w:tcPr>
            <w:tcW w:w="567"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p>
        </w:tc>
        <w:tc>
          <w:tcPr>
            <w:tcW w:w="567"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p>
        </w:tc>
        <w:tc>
          <w:tcPr>
            <w:tcW w:w="425"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567"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656"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257" w:hRule="exact"/>
          <w:jc w:val="center"/>
        </w:trPr>
        <w:tc>
          <w:tcPr>
            <w:tcW w:w="308" w:type="dxa"/>
            <w:vMerge w:val="restart"/>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专</w:t>
            </w:r>
          </w:p>
          <w:p>
            <w:pPr>
              <w:adjustRightInd w:val="0"/>
              <w:snapToGrid w:val="0"/>
              <w:jc w:val="center"/>
              <w:rPr>
                <w:rFonts w:hint="eastAsia" w:ascii="宋体" w:hAnsi="宋体" w:eastAsia="宋体" w:cs="宋体"/>
                <w:b/>
                <w:color w:val="auto"/>
                <w:sz w:val="20"/>
                <w:szCs w:val="20"/>
                <w:highlight w:val="none"/>
              </w:rPr>
            </w:pP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业</w:t>
            </w:r>
          </w:p>
          <w:p>
            <w:pPr>
              <w:adjustRightInd w:val="0"/>
              <w:snapToGrid w:val="0"/>
              <w:jc w:val="center"/>
              <w:rPr>
                <w:rFonts w:hint="eastAsia" w:ascii="宋体" w:hAnsi="宋体" w:eastAsia="宋体" w:cs="宋体"/>
                <w:b/>
                <w:color w:val="auto"/>
                <w:sz w:val="20"/>
                <w:szCs w:val="20"/>
                <w:highlight w:val="none"/>
              </w:rPr>
            </w:pP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p>
            <w:pPr>
              <w:adjustRightInd w:val="0"/>
              <w:snapToGrid w:val="0"/>
              <w:jc w:val="center"/>
              <w:rPr>
                <w:rFonts w:hint="eastAsia" w:ascii="宋体" w:hAnsi="宋体" w:eastAsia="宋体" w:cs="宋体"/>
                <w:b/>
                <w:color w:val="auto"/>
                <w:sz w:val="20"/>
                <w:szCs w:val="20"/>
                <w:highlight w:val="none"/>
              </w:rPr>
            </w:pP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工训</w:t>
            </w:r>
          </w:p>
        </w:tc>
        <w:tc>
          <w:tcPr>
            <w:tcW w:w="96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b4090002</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基础工程训练B</w:t>
            </w:r>
          </w:p>
        </w:tc>
        <w:tc>
          <w:tcPr>
            <w:tcW w:w="40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65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shd w:val="clear" w:color="auto" w:fill="FFFFFF" w:themeFill="background1"/>
          <w:tblCellMar>
            <w:top w:w="0" w:type="dxa"/>
            <w:left w:w="0" w:type="dxa"/>
            <w:bottom w:w="0" w:type="dxa"/>
            <w:right w:w="0" w:type="dxa"/>
          </w:tblCellMar>
        </w:tblPrEx>
        <w:trPr>
          <w:trHeight w:val="257"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69"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b4011386</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测控系统认知实践</w:t>
            </w:r>
          </w:p>
        </w:tc>
        <w:tc>
          <w:tcPr>
            <w:tcW w:w="40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65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夏1</w:t>
            </w:r>
          </w:p>
        </w:tc>
      </w:tr>
      <w:tr>
        <w:tblPrEx>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b4011128</w:t>
            </w:r>
          </w:p>
        </w:tc>
        <w:tc>
          <w:tcPr>
            <w:tcW w:w="2999"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电子技术实践</w:t>
            </w:r>
          </w:p>
        </w:tc>
        <w:tc>
          <w:tcPr>
            <w:tcW w:w="40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6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夏1</w:t>
            </w:r>
          </w:p>
        </w:tc>
      </w:tr>
      <w:tr>
        <w:tblPrEx>
          <w:shd w:val="clear" w:color="auto" w:fill="FFFFFF" w:themeFill="background1"/>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b4011145</w:t>
            </w:r>
          </w:p>
        </w:tc>
        <w:tc>
          <w:tcPr>
            <w:tcW w:w="2999"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计算机辅助设计</w:t>
            </w:r>
          </w:p>
        </w:tc>
        <w:tc>
          <w:tcPr>
            <w:tcW w:w="40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6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夏1</w:t>
            </w:r>
          </w:p>
        </w:tc>
      </w:tr>
      <w:tr>
        <w:tblPrEx>
          <w:shd w:val="clear" w:color="auto" w:fill="FFFFFF" w:themeFill="background1"/>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b4011387</w:t>
            </w:r>
          </w:p>
        </w:tc>
        <w:tc>
          <w:tcPr>
            <w:tcW w:w="2999"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数据采集系统设计</w:t>
            </w:r>
          </w:p>
        </w:tc>
        <w:tc>
          <w:tcPr>
            <w:tcW w:w="40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6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夏2</w:t>
            </w:r>
          </w:p>
        </w:tc>
      </w:tr>
      <w:tr>
        <w:tblPrEx>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b4011396</w:t>
            </w:r>
          </w:p>
        </w:tc>
        <w:tc>
          <w:tcPr>
            <w:tcW w:w="2999"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电子电路设计与仿真</w:t>
            </w:r>
          </w:p>
        </w:tc>
        <w:tc>
          <w:tcPr>
            <w:tcW w:w="40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6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夏2</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b4011390</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单片机设计与应用</w:t>
            </w:r>
          </w:p>
        </w:tc>
        <w:tc>
          <w:tcPr>
            <w:tcW w:w="40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6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夏2</w:t>
            </w:r>
          </w:p>
        </w:tc>
      </w:tr>
      <w:tr>
        <w:tblPrEx>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b4011389</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嵌入式系统设计与应用</w:t>
            </w:r>
          </w:p>
        </w:tc>
        <w:tc>
          <w:tcPr>
            <w:tcW w:w="40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6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b4011391</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虚拟仪器设计与开发</w:t>
            </w:r>
          </w:p>
        </w:tc>
        <w:tc>
          <w:tcPr>
            <w:tcW w:w="40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6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b4011339</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劳动教育</w:t>
            </w:r>
            <w:r>
              <w:rPr>
                <w:rStyle w:val="9"/>
                <w:rFonts w:hint="eastAsia" w:ascii="宋体" w:hAnsi="宋体" w:eastAsia="宋体" w:cs="宋体"/>
                <w:color w:val="auto"/>
                <w:highlight w:val="none"/>
              </w:rPr>
              <w:t>B</w:t>
            </w:r>
          </w:p>
        </w:tc>
        <w:tc>
          <w:tcPr>
            <w:tcW w:w="40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6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b4011392</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电气控制与可编程控制器实践</w:t>
            </w:r>
          </w:p>
        </w:tc>
        <w:tc>
          <w:tcPr>
            <w:tcW w:w="40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6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b4011171</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印制板设计与实现</w:t>
            </w:r>
          </w:p>
        </w:tc>
        <w:tc>
          <w:tcPr>
            <w:tcW w:w="40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6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夏3</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b4011393</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测控系统设计与开发</w:t>
            </w:r>
          </w:p>
        </w:tc>
        <w:tc>
          <w:tcPr>
            <w:tcW w:w="40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6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夏3</w:t>
            </w:r>
          </w:p>
        </w:tc>
      </w:tr>
      <w:tr>
        <w:tblPrEx>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b4011394</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视觉检测与运动控制系统集成</w:t>
            </w:r>
          </w:p>
        </w:tc>
        <w:tc>
          <w:tcPr>
            <w:tcW w:w="40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6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夏3</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b4000004</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测控技术与仪器专业创新创业</w:t>
            </w:r>
          </w:p>
        </w:tc>
        <w:tc>
          <w:tcPr>
            <w:tcW w:w="40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6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b4011358</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工业机器人系统集成</w:t>
            </w:r>
          </w:p>
        </w:tc>
        <w:tc>
          <w:tcPr>
            <w:tcW w:w="40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6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秋4</w:t>
            </w:r>
          </w:p>
        </w:tc>
      </w:tr>
      <w:tr>
        <w:tblPrEx>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b4011298</w:t>
            </w:r>
          </w:p>
        </w:tc>
        <w:tc>
          <w:tcPr>
            <w:tcW w:w="299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测控专业综合实践</w:t>
            </w:r>
          </w:p>
        </w:tc>
        <w:tc>
          <w:tcPr>
            <w:tcW w:w="40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6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秋4</w:t>
            </w:r>
          </w:p>
        </w:tc>
      </w:tr>
      <w:tr>
        <w:tblPrEx>
          <w:tblCellMar>
            <w:top w:w="0" w:type="dxa"/>
            <w:left w:w="0" w:type="dxa"/>
            <w:bottom w:w="0" w:type="dxa"/>
            <w:right w:w="0" w:type="dxa"/>
          </w:tblCellMar>
        </w:tblPrEx>
        <w:trPr>
          <w:trHeight w:val="522" w:hRule="exact"/>
          <w:jc w:val="center"/>
        </w:trPr>
        <w:tc>
          <w:tcPr>
            <w:tcW w:w="308" w:type="dxa"/>
            <w:vMerge w:val="continue"/>
            <w:tcBorders>
              <w:left w:val="single" w:color="auto" w:sz="4" w:space="0"/>
              <w:bottom w:val="nil"/>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b4011251</w:t>
            </w:r>
          </w:p>
        </w:tc>
        <w:tc>
          <w:tcPr>
            <w:tcW w:w="2999" w:type="dxa"/>
            <w:tcBorders>
              <w:top w:val="nil"/>
              <w:left w:val="nil"/>
              <w:bottom w:val="single" w:color="auto" w:sz="4" w:space="0"/>
              <w:right w:val="single" w:color="auto" w:sz="4" w:space="0"/>
            </w:tcBorders>
            <w:shd w:val="clear" w:color="auto" w:fill="FFFFFF" w:themeFill="background1"/>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测控技术与仪器专业毕业实习与毕业设计（论文）</w:t>
            </w:r>
          </w:p>
        </w:tc>
        <w:tc>
          <w:tcPr>
            <w:tcW w:w="40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288</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288　</w:t>
            </w:r>
          </w:p>
        </w:tc>
        <w:tc>
          <w:tcPr>
            <w:tcW w:w="6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春4</w:t>
            </w:r>
          </w:p>
        </w:tc>
      </w:tr>
      <w:tr>
        <w:tblPrEx>
          <w:shd w:val="clear" w:color="auto" w:fill="FFFFFF" w:themeFill="background1"/>
          <w:tblCellMar>
            <w:top w:w="0" w:type="dxa"/>
            <w:left w:w="0" w:type="dxa"/>
            <w:bottom w:w="0" w:type="dxa"/>
            <w:right w:w="0" w:type="dxa"/>
          </w:tblCellMar>
        </w:tblPrEx>
        <w:trPr>
          <w:trHeight w:val="333" w:hRule="exact"/>
          <w:jc w:val="center"/>
        </w:trPr>
        <w:tc>
          <w:tcPr>
            <w:tcW w:w="308" w:type="dxa"/>
            <w:tcBorders>
              <w:top w:val="single" w:color="auto" w:sz="4" w:space="0"/>
              <w:left w:val="single" w:color="auto" w:sz="4" w:space="0"/>
              <w:bottom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p>
        </w:tc>
        <w:tc>
          <w:tcPr>
            <w:tcW w:w="434" w:type="dxa"/>
            <w:tcBorders>
              <w:top w:val="nil"/>
              <w:bottom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p>
        </w:tc>
        <w:tc>
          <w:tcPr>
            <w:tcW w:w="415"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p>
        </w:tc>
        <w:tc>
          <w:tcPr>
            <w:tcW w:w="969" w:type="dxa"/>
            <w:gridSpan w:val="2"/>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p>
        </w:tc>
        <w:tc>
          <w:tcPr>
            <w:tcW w:w="2999" w:type="dxa"/>
            <w:tcBorders>
              <w:top w:val="nil"/>
              <w:bottom w:val="single" w:color="auto" w:sz="4" w:space="0"/>
              <w:right w:val="single" w:color="auto" w:sz="4" w:space="0"/>
            </w:tcBorders>
            <w:shd w:val="clear" w:color="auto" w:fill="D8D8D8" w:themeFill="background1" w:themeFillShade="D9"/>
            <w:vAlign w:val="center"/>
          </w:tcPr>
          <w:p>
            <w:pPr>
              <w:widowControl/>
              <w:adjustRightInd w:val="0"/>
              <w:snapToGrid w:val="0"/>
              <w:jc w:val="left"/>
              <w:rPr>
                <w:rFonts w:hint="eastAsia" w:ascii="宋体" w:hAnsi="宋体" w:eastAsia="宋体" w:cs="宋体"/>
                <w:b/>
                <w:color w:val="auto"/>
                <w:kern w:val="0"/>
                <w:sz w:val="20"/>
                <w:szCs w:val="20"/>
                <w:highlight w:val="none"/>
              </w:rPr>
            </w:pPr>
            <w:r>
              <w:rPr>
                <w:rFonts w:hint="eastAsia" w:ascii="宋体" w:hAnsi="宋体" w:eastAsia="宋体" w:cs="宋体"/>
                <w:b/>
                <w:color w:val="auto"/>
                <w:sz w:val="20"/>
                <w:szCs w:val="20"/>
                <w:highlight w:val="none"/>
              </w:rPr>
              <w:t xml:space="preserve">小计（专业实践） </w:t>
            </w:r>
          </w:p>
        </w:tc>
        <w:tc>
          <w:tcPr>
            <w:tcW w:w="403"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33.5</w:t>
            </w: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952</w:t>
            </w:r>
          </w:p>
        </w:tc>
        <w:tc>
          <w:tcPr>
            <w:tcW w:w="425"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952</w:t>
            </w:r>
          </w:p>
        </w:tc>
        <w:tc>
          <w:tcPr>
            <w:tcW w:w="656" w:type="dxa"/>
            <w:tcBorders>
              <w:top w:val="nil"/>
              <w:left w:val="nil"/>
              <w:bottom w:val="single" w:color="auto" w:sz="4" w:space="0"/>
              <w:right w:val="single" w:color="auto" w:sz="4" w:space="0"/>
            </w:tcBorders>
            <w:shd w:val="clear" w:color="auto" w:fill="D8D8D8" w:themeFill="background1" w:themeFillShade="D9"/>
          </w:tcPr>
          <w:p>
            <w:pPr>
              <w:adjustRightInd w:val="0"/>
              <w:snapToGrid w:val="0"/>
              <w:jc w:val="center"/>
              <w:rPr>
                <w:rFonts w:hint="eastAsia" w:ascii="宋体" w:hAnsi="宋体" w:eastAsia="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1131" w:hRule="exact"/>
          <w:jc w:val="center"/>
        </w:trPr>
        <w:tc>
          <w:tcPr>
            <w:tcW w:w="3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第二课堂</w:t>
            </w:r>
          </w:p>
        </w:tc>
        <w:tc>
          <w:tcPr>
            <w:tcW w:w="4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color w:val="auto"/>
                <w:kern w:val="0"/>
                <w:sz w:val="20"/>
                <w:szCs w:val="20"/>
                <w:highlight w:val="none"/>
              </w:rPr>
            </w:pPr>
            <w:r>
              <w:rPr>
                <w:rFonts w:hint="eastAsia" w:ascii="宋体" w:hAnsi="宋体" w:eastAsia="宋体" w:cs="宋体"/>
                <w:bCs/>
                <w:color w:val="auto"/>
                <w:kern w:val="0"/>
                <w:sz w:val="20"/>
                <w:szCs w:val="20"/>
                <w:highlight w:val="none"/>
              </w:rPr>
              <w:t>必</w:t>
            </w:r>
          </w:p>
        </w:tc>
        <w:tc>
          <w:tcPr>
            <w:tcW w:w="43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w:t>
            </w:r>
          </w:p>
        </w:tc>
        <w:tc>
          <w:tcPr>
            <w:tcW w:w="9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b5110001</w:t>
            </w:r>
          </w:p>
        </w:tc>
        <w:tc>
          <w:tcPr>
            <w:tcW w:w="29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第二课堂</w:t>
            </w:r>
          </w:p>
        </w:tc>
        <w:tc>
          <w:tcPr>
            <w:tcW w:w="4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w:t>
            </w:r>
          </w:p>
        </w:tc>
        <w:tc>
          <w:tcPr>
            <w:tcW w:w="6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秋，春，夏</w:t>
            </w:r>
          </w:p>
        </w:tc>
      </w:tr>
      <w:tr>
        <w:tblPrEx>
          <w:shd w:val="clear" w:color="auto" w:fill="FFFFFF" w:themeFill="background1"/>
          <w:tblCellMar>
            <w:top w:w="0" w:type="dxa"/>
            <w:left w:w="0" w:type="dxa"/>
            <w:bottom w:w="0" w:type="dxa"/>
            <w:right w:w="0" w:type="dxa"/>
          </w:tblCellMar>
        </w:tblPrEx>
        <w:trPr>
          <w:trHeight w:val="360" w:hRule="exact"/>
          <w:jc w:val="center"/>
        </w:trPr>
        <w:tc>
          <w:tcPr>
            <w:tcW w:w="5125"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总   计</w:t>
            </w:r>
          </w:p>
        </w:tc>
        <w:tc>
          <w:tcPr>
            <w:tcW w:w="40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rPr>
            </w:pP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rPr>
              <w:t>16</w:t>
            </w:r>
            <w:r>
              <w:rPr>
                <w:rFonts w:hint="eastAsia" w:ascii="宋体" w:hAnsi="宋体" w:cs="宋体"/>
                <w:b/>
                <w:color w:val="auto"/>
                <w:sz w:val="20"/>
                <w:szCs w:val="20"/>
                <w:highlight w:val="none"/>
                <w:lang w:val="en-US" w:eastAsia="zh-CN"/>
              </w:rPr>
              <w:t>6</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i w:val="0"/>
                <w:iCs w:val="0"/>
                <w:color w:val="000000"/>
                <w:kern w:val="0"/>
                <w:sz w:val="20"/>
                <w:szCs w:val="20"/>
                <w:u w:val="none"/>
                <w:lang w:val="en-US" w:eastAsia="zh-CN" w:bidi="ar"/>
              </w:rPr>
              <w:t>3192</w:t>
            </w:r>
          </w:p>
        </w:tc>
        <w:tc>
          <w:tcPr>
            <w:tcW w:w="4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i w:val="0"/>
                <w:iCs w:val="0"/>
                <w:color w:val="000000"/>
                <w:kern w:val="0"/>
                <w:sz w:val="20"/>
                <w:szCs w:val="20"/>
                <w:u w:val="none"/>
                <w:lang w:val="en-US" w:eastAsia="zh-CN" w:bidi="ar"/>
              </w:rPr>
              <w:t>1940</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i w:val="0"/>
                <w:iCs w:val="0"/>
                <w:color w:val="000000"/>
                <w:kern w:val="0"/>
                <w:sz w:val="20"/>
                <w:szCs w:val="20"/>
                <w:u w:val="none"/>
                <w:lang w:val="en-US" w:eastAsia="zh-CN" w:bidi="ar"/>
              </w:rPr>
              <w:t>1252</w:t>
            </w:r>
          </w:p>
        </w:tc>
        <w:tc>
          <w:tcPr>
            <w:tcW w:w="65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adjustRightInd w:val="0"/>
              <w:snapToGrid w:val="0"/>
              <w:jc w:val="center"/>
              <w:rPr>
                <w:rFonts w:hint="eastAsia" w:ascii="宋体" w:hAnsi="宋体" w:eastAsia="宋体" w:cs="宋体"/>
                <w:b/>
                <w:color w:val="auto"/>
                <w:sz w:val="20"/>
                <w:szCs w:val="20"/>
                <w:highlight w:val="none"/>
              </w:rPr>
            </w:pPr>
          </w:p>
        </w:tc>
      </w:tr>
    </w:tbl>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r>
        <w:rPr>
          <w:rFonts w:hint="default" w:ascii="Times New Roman" w:hAnsi="Times New Roman" w:eastAsia="黑体" w:cs="Times New Roman"/>
          <w:b/>
          <w:color w:val="auto"/>
          <w:szCs w:val="21"/>
          <w:highlight w:val="none"/>
        </w:rPr>
        <w:t>十，第二课堂学分</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通过开展第二课堂活动1学分，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ind w:firstLine="420" w:firstLineChars="200"/>
        <w:rPr>
          <w:rFonts w:hint="default" w:ascii="Times New Roman" w:hAnsi="Times New Roman" w:cs="Times New Roman"/>
          <w:color w:val="auto"/>
          <w:szCs w:val="21"/>
          <w:highlight w:val="none"/>
        </w:rPr>
      </w:pPr>
    </w:p>
    <w:p>
      <w:pPr>
        <w:adjustRightInd w:val="0"/>
        <w:snapToGrid w:val="0"/>
        <w:spacing w:line="360" w:lineRule="auto"/>
        <w:ind w:firstLine="420" w:firstLineChars="200"/>
        <w:rPr>
          <w:rFonts w:hint="default" w:ascii="Times New Roman" w:hAnsi="Times New Roman" w:cs="Times New Roman"/>
          <w:color w:val="auto"/>
          <w:szCs w:val="21"/>
          <w:highlight w:val="none"/>
        </w:rPr>
      </w:pPr>
    </w:p>
    <w:p>
      <w:pPr>
        <w:adjustRightInd w:val="0"/>
        <w:snapToGrid w:val="0"/>
        <w:spacing w:line="360" w:lineRule="auto"/>
        <w:ind w:firstLine="420" w:firstLineChars="200"/>
        <w:rPr>
          <w:rFonts w:hint="default" w:ascii="Times New Roman" w:hAnsi="Times New Roman" w:cs="Times New Roman"/>
          <w:color w:val="auto"/>
          <w:szCs w:val="21"/>
          <w:highlight w:val="none"/>
        </w:rPr>
      </w:pPr>
    </w:p>
    <w:p>
      <w:pPr>
        <w:adjustRightInd w:val="0"/>
        <w:snapToGrid w:val="0"/>
        <w:spacing w:line="360" w:lineRule="auto"/>
        <w:ind w:firstLine="420" w:firstLineChars="200"/>
        <w:rPr>
          <w:rFonts w:hint="default" w:ascii="Times New Roman" w:hAnsi="Times New Roman" w:cs="Times New Roman"/>
          <w:color w:val="auto"/>
          <w:szCs w:val="21"/>
          <w:highlight w:val="none"/>
        </w:rPr>
      </w:pPr>
    </w:p>
    <w:p>
      <w:pPr>
        <w:adjustRightInd w:val="0"/>
        <w:snapToGrid w:val="0"/>
        <w:spacing w:line="360" w:lineRule="auto"/>
        <w:ind w:firstLine="420" w:firstLineChars="200"/>
        <w:rPr>
          <w:rFonts w:hint="default" w:ascii="Times New Roman" w:hAnsi="Times New Roman" w:cs="Times New Roman"/>
          <w:color w:val="auto"/>
          <w:szCs w:val="21"/>
          <w:highlight w:val="none"/>
        </w:rPr>
      </w:pPr>
    </w:p>
    <w:p>
      <w:pPr>
        <w:adjustRightInd w:val="0"/>
        <w:snapToGrid w:val="0"/>
        <w:spacing w:line="360" w:lineRule="auto"/>
        <w:ind w:firstLine="420" w:firstLineChars="200"/>
        <w:rPr>
          <w:rFonts w:hint="default" w:ascii="Times New Roman" w:hAnsi="Times New Roman" w:cs="Times New Roman"/>
          <w:color w:val="auto"/>
          <w:szCs w:val="21"/>
          <w:highlight w:val="none"/>
        </w:rPr>
      </w:pPr>
    </w:p>
    <w:p>
      <w:pPr>
        <w:adjustRightInd w:val="0"/>
        <w:snapToGrid w:val="0"/>
        <w:spacing w:line="360" w:lineRule="auto"/>
        <w:ind w:firstLine="420" w:firstLineChars="200"/>
        <w:rPr>
          <w:rFonts w:hint="default" w:ascii="Times New Roman" w:hAnsi="Times New Roman" w:cs="Times New Roman"/>
          <w:color w:val="auto"/>
          <w:szCs w:val="21"/>
          <w:highlight w:val="none"/>
        </w:rPr>
      </w:pPr>
    </w:p>
    <w:p>
      <w:pPr>
        <w:adjustRightInd w:val="0"/>
        <w:snapToGrid w:val="0"/>
        <w:spacing w:line="360" w:lineRule="auto"/>
        <w:ind w:firstLine="420" w:firstLineChars="200"/>
        <w:rPr>
          <w:rFonts w:hint="default" w:ascii="Times New Roman" w:hAnsi="Times New Roman" w:cs="Times New Roman"/>
          <w:color w:val="auto"/>
          <w:szCs w:val="21"/>
          <w:highlight w:val="none"/>
        </w:rPr>
      </w:pPr>
    </w:p>
    <w:p>
      <w:pPr>
        <w:adjustRightInd w:val="0"/>
        <w:snapToGrid w:val="0"/>
        <w:spacing w:line="360" w:lineRule="auto"/>
        <w:ind w:firstLine="420" w:firstLineChars="200"/>
        <w:rPr>
          <w:rFonts w:hint="default" w:ascii="Times New Roman" w:hAnsi="Times New Roman" w:cs="Times New Roman"/>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r>
        <w:rPr>
          <w:rFonts w:hint="default" w:ascii="Times New Roman" w:hAnsi="Times New Roman" w:eastAsia="黑体" w:cs="Times New Roman"/>
          <w:b/>
          <w:color w:val="auto"/>
          <w:szCs w:val="21"/>
          <w:highlight w:val="none"/>
        </w:rPr>
        <w:t>附录一：毕业要求对培养目标的支撑关系矩阵</w:t>
      </w:r>
      <w:r>
        <w:rPr>
          <w:rFonts w:hint="eastAsia" w:ascii="黑体" w:hAnsi="黑体" w:eastAsia="黑体" w:cs="黑体"/>
          <w:b/>
          <w:color w:val="auto"/>
          <w:szCs w:val="21"/>
          <w:highlight w:val="none"/>
        </w:rPr>
        <w:t>（√）</w:t>
      </w:r>
    </w:p>
    <w:tbl>
      <w:tblPr>
        <w:tblStyle w:val="6"/>
        <w:tblW w:w="7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283" w:type="dxa"/>
            <w:tcBorders>
              <w:bottom w:val="single" w:color="000000" w:sz="4" w:space="0"/>
              <w:tl2br w:val="single" w:color="auto" w:sz="4" w:space="0"/>
            </w:tcBorders>
            <w:vAlign w:val="center"/>
          </w:tcPr>
          <w:p>
            <w:pPr>
              <w:adjustRightInd w:val="0"/>
              <w:jc w:val="right"/>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培养目标</w:t>
            </w:r>
          </w:p>
          <w:p>
            <w:pPr>
              <w:adjustRightInd w:val="0"/>
              <w:jc w:val="left"/>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w:t>
            </w:r>
          </w:p>
        </w:tc>
        <w:tc>
          <w:tcPr>
            <w:tcW w:w="1381" w:type="dxa"/>
            <w:vAlign w:val="center"/>
          </w:tcPr>
          <w:p>
            <w:pPr>
              <w:adjustRightIn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培养目标1</w:t>
            </w:r>
          </w:p>
        </w:tc>
        <w:tc>
          <w:tcPr>
            <w:tcW w:w="1381" w:type="dxa"/>
            <w:vAlign w:val="center"/>
          </w:tcPr>
          <w:p>
            <w:pPr>
              <w:adjustRightIn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培养目标2</w:t>
            </w:r>
          </w:p>
        </w:tc>
        <w:tc>
          <w:tcPr>
            <w:tcW w:w="1381" w:type="dxa"/>
            <w:vAlign w:val="center"/>
          </w:tcPr>
          <w:p>
            <w:pPr>
              <w:adjustRightIn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培养目标3</w:t>
            </w:r>
          </w:p>
        </w:tc>
        <w:tc>
          <w:tcPr>
            <w:tcW w:w="1381" w:type="dxa"/>
            <w:vAlign w:val="center"/>
          </w:tcPr>
          <w:p>
            <w:pPr>
              <w:adjustRightIn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83" w:type="dxa"/>
            <w:tcBorders>
              <w:top w:val="single" w:color="000000" w:sz="4" w:space="0"/>
            </w:tcBorders>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w:t>
            </w:r>
          </w:p>
        </w:tc>
        <w:tc>
          <w:tcPr>
            <w:tcW w:w="1381" w:type="dxa"/>
            <w:vAlign w:val="center"/>
          </w:tcPr>
          <w:p>
            <w:pPr>
              <w:snapToGrid w:val="0"/>
              <w:jc w:val="center"/>
              <w:rPr>
                <w:rFonts w:hint="eastAsia"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83" w:type="dxa"/>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毕业要求2</w:t>
            </w:r>
          </w:p>
        </w:tc>
        <w:tc>
          <w:tcPr>
            <w:tcW w:w="1381" w:type="dxa"/>
            <w:vAlign w:val="center"/>
          </w:tcPr>
          <w:p>
            <w:pPr>
              <w:snapToGrid w:val="0"/>
              <w:jc w:val="center"/>
              <w:rPr>
                <w:rFonts w:hint="eastAsia"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83" w:type="dxa"/>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毕业要求3</w:t>
            </w:r>
          </w:p>
        </w:tc>
        <w:tc>
          <w:tcPr>
            <w:tcW w:w="1381" w:type="dxa"/>
            <w:vAlign w:val="center"/>
          </w:tcPr>
          <w:p>
            <w:pPr>
              <w:snapToGrid w:val="0"/>
              <w:jc w:val="center"/>
              <w:rPr>
                <w:rFonts w:hint="eastAsia"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hint="eastAsia"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83" w:type="dxa"/>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毕业要求4</w:t>
            </w:r>
          </w:p>
        </w:tc>
        <w:tc>
          <w:tcPr>
            <w:tcW w:w="1381" w:type="dxa"/>
            <w:vAlign w:val="center"/>
          </w:tcPr>
          <w:p>
            <w:pPr>
              <w:snapToGrid w:val="0"/>
              <w:jc w:val="center"/>
              <w:rPr>
                <w:rFonts w:hint="eastAsia"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83" w:type="dxa"/>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毕业要求5</w:t>
            </w:r>
          </w:p>
        </w:tc>
        <w:tc>
          <w:tcPr>
            <w:tcW w:w="1381" w:type="dxa"/>
            <w:vAlign w:val="center"/>
          </w:tcPr>
          <w:p>
            <w:pPr>
              <w:snapToGrid w:val="0"/>
              <w:jc w:val="center"/>
              <w:rPr>
                <w:rFonts w:hint="eastAsia"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83" w:type="dxa"/>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毕业要求6</w:t>
            </w:r>
          </w:p>
        </w:tc>
        <w:tc>
          <w:tcPr>
            <w:tcW w:w="1381" w:type="dxa"/>
            <w:vAlign w:val="center"/>
          </w:tcPr>
          <w:p>
            <w:pPr>
              <w:snapToGrid w:val="0"/>
              <w:jc w:val="center"/>
              <w:rPr>
                <w:rFonts w:hint="eastAsia"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hint="eastAsia"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83" w:type="dxa"/>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毕业要求7</w:t>
            </w:r>
          </w:p>
        </w:tc>
        <w:tc>
          <w:tcPr>
            <w:tcW w:w="1381" w:type="dxa"/>
            <w:vAlign w:val="center"/>
          </w:tcPr>
          <w:p>
            <w:pPr>
              <w:snapToGrid w:val="0"/>
              <w:jc w:val="center"/>
              <w:rPr>
                <w:rFonts w:hint="eastAsia"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hint="eastAsia"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83" w:type="dxa"/>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毕业要求8</w:t>
            </w:r>
          </w:p>
        </w:tc>
        <w:tc>
          <w:tcPr>
            <w:tcW w:w="1381" w:type="dxa"/>
            <w:vAlign w:val="center"/>
          </w:tcPr>
          <w:p>
            <w:pPr>
              <w:snapToGrid w:val="0"/>
              <w:jc w:val="center"/>
              <w:rPr>
                <w:rFonts w:hint="eastAsia"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hint="eastAsia"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83" w:type="dxa"/>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毕业要求9</w:t>
            </w: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83" w:type="dxa"/>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毕业要求10</w:t>
            </w: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83" w:type="dxa"/>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毕业要求11</w:t>
            </w:r>
          </w:p>
        </w:tc>
        <w:tc>
          <w:tcPr>
            <w:tcW w:w="1381" w:type="dxa"/>
            <w:vAlign w:val="center"/>
          </w:tcPr>
          <w:p>
            <w:pPr>
              <w:snapToGrid w:val="0"/>
              <w:jc w:val="center"/>
              <w:rPr>
                <w:rFonts w:hint="eastAsia"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83" w:type="dxa"/>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毕业要求12</w:t>
            </w: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p>
        </w:tc>
        <w:tc>
          <w:tcPr>
            <w:tcW w:w="1381" w:type="dxa"/>
            <w:vAlign w:val="center"/>
          </w:tcPr>
          <w:p>
            <w:pPr>
              <w:snapToGrid w:val="0"/>
              <w:jc w:val="center"/>
              <w:rPr>
                <w:rFonts w:hint="eastAsia"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r>
    </w:tbl>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lang w:val="en-US" w:eastAsia="zh-CN"/>
        </w:rPr>
      </w:pPr>
      <w:r>
        <w:rPr>
          <w:rFonts w:hint="eastAsia" w:ascii="Times New Roman" w:hAnsi="Times New Roman" w:eastAsia="黑体" w:cs="Times New Roman"/>
          <w:b/>
          <w:color w:val="auto"/>
          <w:szCs w:val="21"/>
          <w:highlight w:val="none"/>
          <w:lang w:val="en-US" w:eastAsia="zh-CN"/>
        </w:rPr>
        <w:t xml:space="preserve">                                          </w:t>
      </w: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lang w:val="en-US" w:eastAsia="zh-CN"/>
        </w:rPr>
      </w:pPr>
      <w:r>
        <w:rPr>
          <w:rFonts w:hint="eastAsia" w:ascii="Times New Roman" w:hAnsi="Times New Roman" w:eastAsia="黑体" w:cs="Times New Roman"/>
          <w:b/>
          <w:color w:val="auto"/>
          <w:szCs w:val="21"/>
          <w:highlight w:val="none"/>
          <w:lang w:val="en-US" w:eastAsia="zh-CN"/>
        </w:rPr>
        <w:t xml:space="preserve">                         </w:t>
      </w:r>
    </w:p>
    <w:p>
      <w:pPr>
        <w:adjustRightInd w:val="0"/>
        <w:snapToGrid w:val="0"/>
        <w:spacing w:line="360" w:lineRule="auto"/>
        <w:rPr>
          <w:rFonts w:ascii="黑体" w:hAnsi="宋体" w:eastAsia="黑体"/>
          <w:b/>
          <w:color w:val="auto"/>
          <w:szCs w:val="21"/>
          <w:highlight w:val="none"/>
        </w:rPr>
      </w:pPr>
      <w:r>
        <w:rPr>
          <w:rFonts w:hint="eastAsia" w:ascii="黑体" w:hAnsi="宋体" w:eastAsia="黑体"/>
          <w:b/>
          <w:color w:val="auto"/>
          <w:szCs w:val="21"/>
          <w:highlight w:val="none"/>
        </w:rPr>
        <w:t>附录二：课程对毕业要求的支撑关系矩阵（H/M/L）</w:t>
      </w:r>
    </w:p>
    <w:tbl>
      <w:tblPr>
        <w:tblStyle w:val="6"/>
        <w:tblW w:w="8912" w:type="dxa"/>
        <w:jc w:val="center"/>
        <w:shd w:val="clear" w:color="auto" w:fill="FFFFFF" w:themeFill="background1"/>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 xml:space="preserve">           毕业要求</w:t>
            </w:r>
          </w:p>
          <w:p>
            <w:pPr>
              <w:adjustRightInd w:val="0"/>
              <w:snapToGrid w:val="0"/>
              <w:jc w:val="center"/>
              <w:rPr>
                <w:rFonts w:hint="eastAsia" w:ascii="宋体" w:hAnsi="宋体" w:eastAsia="宋体" w:cs="宋体"/>
                <w:b/>
                <w:bCs/>
                <w:color w:val="auto"/>
                <w:sz w:val="20"/>
                <w:szCs w:val="20"/>
                <w:highlight w:val="none"/>
              </w:rPr>
            </w:pPr>
          </w:p>
          <w:p>
            <w:pPr>
              <w:adjustRightInd w:val="0"/>
              <w:snapToGrid w:val="0"/>
              <w:ind w:firstLine="402" w:firstLineChars="200"/>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课程名称</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毕业要求2</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毕业要求3</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毕业要求4</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毕业要求5</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毕业要求6</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毕业要求7</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毕业要求8</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毕业要求9</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毕业要求10</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毕业要求11</w:t>
            </w: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毕业要求12</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w:t>
            </w:r>
          </w:p>
        </w:tc>
        <w:tc>
          <w:tcPr>
            <w:tcW w:w="3062"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中国近现代史纲要</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马克思主义基本原理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思想道德与法治</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567"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毛泽东思想和中国特色社会主义理论体系概论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53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习近平新时代中国特色社会主义思想概论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形势与政策(模块1～4)</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劳动教育A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高等数学A</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线性代数</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概率论与数理统计</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复变函数与积分变换</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计算方法</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大学物理A</w:t>
            </w:r>
            <w:r>
              <w:rPr>
                <w:rFonts w:hint="eastAsia" w:ascii="宋体" w:hAnsi="宋体" w:eastAsia="宋体" w:cs="宋体"/>
                <w:color w:val="auto"/>
                <w:sz w:val="20"/>
                <w:szCs w:val="20"/>
                <w:highlight w:val="none"/>
                <w:lang w:val="en-US" w:eastAsia="zh-CN"/>
              </w:rPr>
              <w:t>/B</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大学物理C</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大学语文</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军事技能</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军事理论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基础工程训练B</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19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体育I～VI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大学生心理健康教育</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第二课堂</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程序设计基础</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现代工程制图</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电路</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工程力学</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模拟电子技术</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数字电子技术</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工程光学</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29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测控技术与仪器专业导论</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单片机技术基础</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信号与系统</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精密机械基础</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科技论文写作与文献检索</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自动控制原理</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传感器原理</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测控总线与仪器通信技术</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虚拟仪器技术</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PLC原理及应用</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数字图像处理</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智能仪器技术</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运动控制系统</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误差理论与数据处理</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工业自动化与机器人技术</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项目管理</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测控系统认知实践</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电子技术实践</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计算机辅助设计</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数据采集系统设计</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49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电子电路设计与仿真</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50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单片机设计与应用</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51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嵌入式系统设计与应用</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52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虚拟仪器技术设计与开发</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53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Style w:val="14"/>
                <w:rFonts w:hint="eastAsia" w:ascii="宋体" w:hAnsi="宋体" w:eastAsia="宋体" w:cs="宋体"/>
                <w:color w:val="auto"/>
                <w:sz w:val="20"/>
                <w:szCs w:val="20"/>
                <w:highlight w:val="none"/>
                <w:lang w:val="en-US" w:eastAsia="zh-CN" w:bidi="ar"/>
              </w:rPr>
              <w:t>劳动教育</w:t>
            </w:r>
            <w:r>
              <w:rPr>
                <w:rStyle w:val="15"/>
                <w:rFonts w:hint="eastAsia" w:ascii="宋体" w:hAnsi="宋体" w:eastAsia="宋体" w:cs="宋体"/>
                <w:color w:val="auto"/>
                <w:sz w:val="20"/>
                <w:szCs w:val="20"/>
                <w:highlight w:val="none"/>
                <w:lang w:val="en-US" w:eastAsia="zh-CN" w:bidi="ar"/>
              </w:rPr>
              <w:t>B</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54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电气控制与可编程控制器实践</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55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印制板设计与实现</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56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测控系统设计与开发</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57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视觉检测与运动控制系统集成</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58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测控技术与仪器专业创新创业</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59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工业机器人系统集成</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60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测控专业综合实践</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655"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61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测控技术与仪器专业毕业实习与毕业设计（论文）</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H</w:t>
            </w:r>
          </w:p>
        </w:tc>
      </w:tr>
    </w:tbl>
    <w:p>
      <w:pPr>
        <w:rPr>
          <w:rFonts w:ascii="宋体" w:hAnsi="宋体" w:cs="宋体"/>
          <w:b/>
          <w:bCs/>
          <w:color w:val="auto"/>
          <w:szCs w:val="21"/>
          <w:highlight w:val="none"/>
        </w:rPr>
      </w:pPr>
    </w:p>
    <w:p>
      <w:pPr>
        <w:rPr>
          <w:rFonts w:ascii="宋体" w:hAnsi="宋体" w:cs="宋体"/>
          <w:b/>
          <w:bCs/>
          <w:color w:val="auto"/>
          <w:szCs w:val="21"/>
          <w:highlight w:val="none"/>
        </w:rPr>
      </w:pPr>
      <w:r>
        <w:rPr>
          <w:rFonts w:hint="eastAsia" w:ascii="宋体" w:hAnsi="宋体" w:cs="宋体"/>
          <w:b/>
          <w:bCs/>
          <w:color w:val="auto"/>
          <w:szCs w:val="21"/>
          <w:highlight w:val="none"/>
        </w:rPr>
        <w:t>备注：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课程对毕业要求的支撑强度分别用“H/高、M/中、L/弱”表示；</w:t>
      </w:r>
    </w:p>
    <w:p>
      <w:pPr>
        <w:ind w:left="2" w:leftChars="1" w:firstLine="420" w:firstLineChars="200"/>
        <w:rPr>
          <w:rFonts w:hint="eastAsia" w:ascii="宋体" w:hAnsi="宋体"/>
          <w:color w:val="auto"/>
          <w:szCs w:val="21"/>
          <w:highlight w:val="none"/>
        </w:rPr>
      </w:pPr>
      <w:r>
        <w:rPr>
          <w:rFonts w:hint="eastAsia" w:ascii="宋体" w:hAnsi="宋体" w:cs="宋体"/>
          <w:color w:val="auto"/>
          <w:szCs w:val="21"/>
          <w:highlight w:val="none"/>
        </w:rPr>
        <w:t>支撑强度的含义是：该课程覆盖毕业要求指标点的多寡，H至少覆盖80%，M至少覆盖50%，L至少覆盖30%。</w:t>
      </w:r>
    </w:p>
    <w:p>
      <w:pPr>
        <w:rPr>
          <w:color w:val="auto"/>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tbl>
      <w:tblPr>
        <w:tblStyle w:val="6"/>
        <w:tblpPr w:leftFromText="180" w:rightFromText="180" w:vertAnchor="text" w:horzAnchor="page" w:tblpX="1600" w:tblpY="434"/>
        <w:tblOverlap w:val="never"/>
        <w:tblW w:w="8912" w:type="dxa"/>
        <w:tblInd w:w="0" w:type="dxa"/>
        <w:shd w:val="clear" w:color="auto" w:fill="FFFFFF" w:themeFill="background1"/>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shd w:val="clear" w:color="auto" w:fill="FFFFFF" w:themeFill="background1"/>
          <w:tblCellMar>
            <w:top w:w="0" w:type="dxa"/>
            <w:left w:w="108" w:type="dxa"/>
            <w:bottom w:w="0" w:type="dxa"/>
            <w:right w:w="108" w:type="dxa"/>
          </w:tblCellMar>
        </w:tblPrEx>
        <w:trPr>
          <w:trHeight w:val="574" w:hRule="exact"/>
        </w:trPr>
        <w:tc>
          <w:tcPr>
            <w:tcW w:w="0" w:type="auto"/>
            <w:shd w:val="clear" w:color="auto" w:fill="FFFFFF" w:themeFill="background1"/>
            <w:vAlign w:val="center"/>
          </w:tcPr>
          <w:p>
            <w:pPr>
              <w:adjustRightInd w:val="0"/>
              <w:snapToGrid w:val="0"/>
              <w:jc w:val="center"/>
              <w:rPr>
                <w:rFonts w:hint="default" w:ascii="Times New Roman" w:hAnsi="Times New Roman" w:eastAsia="宋体" w:cs="Times New Roman"/>
                <w:color w:val="auto"/>
                <w:kern w:val="2"/>
                <w:sz w:val="20"/>
                <w:szCs w:val="20"/>
                <w:highlight w:val="none"/>
                <w:lang w:val="en-US" w:eastAsia="zh-CN" w:bidi="ar-SA"/>
              </w:rPr>
            </w:pPr>
          </w:p>
        </w:tc>
        <w:tc>
          <w:tcPr>
            <w:tcW w:w="0" w:type="auto"/>
            <w:shd w:val="clear" w:color="auto" w:fill="FFFFFF" w:themeFill="background1"/>
          </w:tcPr>
          <w:p>
            <w:pPr>
              <w:keepNext w:val="0"/>
              <w:keepLines w:val="0"/>
              <w:widowControl/>
              <w:suppressLineNumbers w:val="0"/>
              <w:jc w:val="left"/>
              <w:textAlignment w:val="center"/>
              <w:rPr>
                <w:rFonts w:hint="default" w:ascii="Times New Roman" w:hAnsi="Times New Roman" w:cs="Times New Roman"/>
                <w:color w:val="auto"/>
                <w:sz w:val="20"/>
                <w:szCs w:val="20"/>
                <w:highlight w:val="none"/>
              </w:rPr>
            </w:pPr>
          </w:p>
        </w:tc>
        <w:tc>
          <w:tcPr>
            <w:tcW w:w="0" w:type="auto"/>
            <w:shd w:val="clear" w:color="auto" w:fill="FFFFFF" w:themeFill="background1"/>
          </w:tcPr>
          <w:p>
            <w:pPr>
              <w:jc w:val="center"/>
              <w:rPr>
                <w:rFonts w:hint="default" w:ascii="Times New Roman" w:hAnsi="Times New Roman" w:cs="Times New Roman"/>
                <w:color w:val="auto"/>
                <w:sz w:val="20"/>
                <w:szCs w:val="20"/>
                <w:highlight w:val="none"/>
              </w:rPr>
            </w:pPr>
          </w:p>
        </w:tc>
        <w:tc>
          <w:tcPr>
            <w:tcW w:w="0" w:type="auto"/>
            <w:shd w:val="clear" w:color="auto" w:fill="FFFFFF" w:themeFill="background1"/>
          </w:tcPr>
          <w:p>
            <w:pPr>
              <w:keepNext w:val="0"/>
              <w:keepLines w:val="0"/>
              <w:widowControl/>
              <w:suppressLineNumbers w:val="0"/>
              <w:jc w:val="center"/>
              <w:textAlignment w:val="center"/>
              <w:rPr>
                <w:rFonts w:hint="default" w:ascii="Times New Roman" w:hAnsi="Times New Roman" w:cs="Times New Roman"/>
                <w:color w:val="auto"/>
                <w:sz w:val="20"/>
                <w:szCs w:val="20"/>
                <w:highlight w:val="none"/>
              </w:rPr>
            </w:pPr>
          </w:p>
        </w:tc>
        <w:tc>
          <w:tcPr>
            <w:tcW w:w="0" w:type="auto"/>
            <w:shd w:val="clear" w:color="auto" w:fill="FFFFFF" w:themeFill="background1"/>
          </w:tcPr>
          <w:p>
            <w:pPr>
              <w:keepNext w:val="0"/>
              <w:keepLines w:val="0"/>
              <w:widowControl/>
              <w:suppressLineNumbers w:val="0"/>
              <w:jc w:val="center"/>
              <w:textAlignment w:val="center"/>
              <w:rPr>
                <w:rFonts w:hint="default" w:ascii="Times New Roman" w:hAnsi="Times New Roman" w:cs="Times New Roman"/>
                <w:color w:val="auto"/>
                <w:sz w:val="20"/>
                <w:szCs w:val="20"/>
                <w:highlight w:val="none"/>
              </w:rPr>
            </w:pPr>
          </w:p>
        </w:tc>
        <w:tc>
          <w:tcPr>
            <w:tcW w:w="0" w:type="auto"/>
            <w:shd w:val="clear" w:color="auto" w:fill="FFFFFF" w:themeFill="background1"/>
          </w:tcPr>
          <w:p>
            <w:pPr>
              <w:keepNext w:val="0"/>
              <w:keepLines w:val="0"/>
              <w:widowControl/>
              <w:suppressLineNumbers w:val="0"/>
              <w:jc w:val="center"/>
              <w:textAlignment w:val="center"/>
              <w:rPr>
                <w:rFonts w:hint="default" w:ascii="Times New Roman" w:hAnsi="Times New Roman" w:cs="Times New Roman"/>
                <w:color w:val="auto"/>
                <w:sz w:val="20"/>
                <w:szCs w:val="20"/>
                <w:highlight w:val="none"/>
              </w:rPr>
            </w:pPr>
          </w:p>
        </w:tc>
        <w:tc>
          <w:tcPr>
            <w:tcW w:w="0" w:type="auto"/>
            <w:shd w:val="clear" w:color="auto" w:fill="FFFFFF" w:themeFill="background1"/>
          </w:tcPr>
          <w:p>
            <w:pPr>
              <w:jc w:val="center"/>
              <w:rPr>
                <w:rFonts w:hint="default" w:ascii="Times New Roman" w:hAnsi="Times New Roman" w:cs="Times New Roman"/>
                <w:color w:val="auto"/>
                <w:sz w:val="20"/>
                <w:szCs w:val="20"/>
                <w:highlight w:val="none"/>
              </w:rPr>
            </w:pPr>
          </w:p>
        </w:tc>
        <w:tc>
          <w:tcPr>
            <w:tcW w:w="0" w:type="auto"/>
            <w:shd w:val="clear" w:color="auto" w:fill="FFFFFF" w:themeFill="background1"/>
          </w:tcPr>
          <w:p>
            <w:pPr>
              <w:keepNext w:val="0"/>
              <w:keepLines w:val="0"/>
              <w:widowControl/>
              <w:suppressLineNumbers w:val="0"/>
              <w:jc w:val="center"/>
              <w:textAlignment w:val="center"/>
              <w:rPr>
                <w:rFonts w:hint="default" w:ascii="Times New Roman" w:hAnsi="Times New Roman" w:cs="Times New Roman"/>
                <w:color w:val="auto"/>
                <w:sz w:val="20"/>
                <w:szCs w:val="20"/>
                <w:highlight w:val="none"/>
              </w:rPr>
            </w:pPr>
          </w:p>
        </w:tc>
        <w:tc>
          <w:tcPr>
            <w:tcW w:w="0" w:type="auto"/>
            <w:shd w:val="clear" w:color="auto" w:fill="FFFFFF" w:themeFill="background1"/>
          </w:tcPr>
          <w:p>
            <w:pPr>
              <w:keepNext w:val="0"/>
              <w:keepLines w:val="0"/>
              <w:widowControl/>
              <w:suppressLineNumbers w:val="0"/>
              <w:jc w:val="center"/>
              <w:textAlignment w:val="center"/>
              <w:rPr>
                <w:rFonts w:hint="default" w:ascii="Times New Roman" w:hAnsi="Times New Roman" w:cs="Times New Roman"/>
                <w:color w:val="auto"/>
                <w:sz w:val="20"/>
                <w:szCs w:val="20"/>
                <w:highlight w:val="none"/>
              </w:rPr>
            </w:pPr>
          </w:p>
        </w:tc>
        <w:tc>
          <w:tcPr>
            <w:tcW w:w="0" w:type="auto"/>
            <w:shd w:val="clear" w:color="auto" w:fill="FFFFFF" w:themeFill="background1"/>
          </w:tcPr>
          <w:p>
            <w:pPr>
              <w:jc w:val="center"/>
              <w:rPr>
                <w:rFonts w:hint="default" w:ascii="Times New Roman" w:hAnsi="Times New Roman" w:cs="Times New Roman"/>
                <w:color w:val="auto"/>
                <w:sz w:val="20"/>
                <w:szCs w:val="20"/>
                <w:highlight w:val="none"/>
              </w:rPr>
            </w:pPr>
          </w:p>
        </w:tc>
        <w:tc>
          <w:tcPr>
            <w:tcW w:w="0" w:type="auto"/>
            <w:shd w:val="clear" w:color="auto" w:fill="FFFFFF" w:themeFill="background1"/>
          </w:tcPr>
          <w:p>
            <w:pPr>
              <w:jc w:val="center"/>
              <w:rPr>
                <w:rFonts w:hint="default" w:ascii="Times New Roman" w:hAnsi="Times New Roman" w:cs="Times New Roman"/>
                <w:color w:val="auto"/>
                <w:sz w:val="20"/>
                <w:szCs w:val="20"/>
                <w:highlight w:val="none"/>
              </w:rPr>
            </w:pPr>
          </w:p>
        </w:tc>
        <w:tc>
          <w:tcPr>
            <w:tcW w:w="0" w:type="auto"/>
            <w:shd w:val="clear" w:color="auto" w:fill="FFFFFF" w:themeFill="background1"/>
          </w:tcPr>
          <w:p>
            <w:pPr>
              <w:keepNext w:val="0"/>
              <w:keepLines w:val="0"/>
              <w:widowControl/>
              <w:suppressLineNumbers w:val="0"/>
              <w:jc w:val="center"/>
              <w:textAlignment w:val="center"/>
              <w:rPr>
                <w:rFonts w:hint="default" w:ascii="Times New Roman" w:hAnsi="Times New Roman" w:cs="Times New Roman"/>
                <w:color w:val="auto"/>
                <w:sz w:val="20"/>
                <w:szCs w:val="20"/>
                <w:highlight w:val="none"/>
              </w:rPr>
            </w:pPr>
          </w:p>
        </w:tc>
        <w:tc>
          <w:tcPr>
            <w:tcW w:w="0" w:type="auto"/>
            <w:shd w:val="clear" w:color="auto" w:fill="FFFFFF" w:themeFill="background1"/>
          </w:tcPr>
          <w:p>
            <w:pPr>
              <w:keepNext w:val="0"/>
              <w:keepLines w:val="0"/>
              <w:widowControl/>
              <w:suppressLineNumbers w:val="0"/>
              <w:jc w:val="center"/>
              <w:textAlignment w:val="center"/>
              <w:rPr>
                <w:rFonts w:hint="default" w:ascii="Times New Roman" w:hAnsi="Times New Roman" w:cs="Times New Roman"/>
                <w:color w:val="auto"/>
                <w:sz w:val="20"/>
                <w:szCs w:val="20"/>
                <w:highlight w:val="none"/>
              </w:rPr>
            </w:pPr>
          </w:p>
        </w:tc>
        <w:tc>
          <w:tcPr>
            <w:tcW w:w="0" w:type="auto"/>
            <w:shd w:val="clear" w:color="auto" w:fill="FFFFFF" w:themeFill="background1"/>
          </w:tcPr>
          <w:p>
            <w:pPr>
              <w:keepNext w:val="0"/>
              <w:keepLines w:val="0"/>
              <w:widowControl/>
              <w:suppressLineNumbers w:val="0"/>
              <w:jc w:val="center"/>
              <w:textAlignment w:val="center"/>
              <w:rPr>
                <w:rFonts w:hint="default" w:ascii="Times New Roman" w:hAnsi="Times New Roman" w:cs="Times New Roman"/>
                <w:color w:val="auto"/>
                <w:sz w:val="20"/>
                <w:szCs w:val="20"/>
                <w:highlight w:val="none"/>
              </w:rPr>
            </w:pPr>
          </w:p>
        </w:tc>
      </w:tr>
    </w:tbl>
    <w:p>
      <w:pPr>
        <w:rPr>
          <w:rFonts w:hint="default" w:ascii="Times New Roman" w:hAnsi="Times New Roman" w:cs="Times New Roman"/>
          <w:b/>
          <w:bCs/>
          <w:color w:val="auto"/>
          <w:szCs w:val="21"/>
          <w:highlight w:val="none"/>
        </w:rPr>
      </w:pPr>
    </w:p>
    <w:p>
      <w:pPr>
        <w:rPr>
          <w:rFonts w:hint="default" w:ascii="Times New Roman" w:hAnsi="Times New Roman" w:cs="Times New Roman"/>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hNjI2NWNlNTU0ZGMwNGZiM2M1M2QzYWExNTk1MmEifQ=="/>
  </w:docVars>
  <w:rsids>
    <w:rsidRoot w:val="2A2131D6"/>
    <w:rsid w:val="00217061"/>
    <w:rsid w:val="00280A5A"/>
    <w:rsid w:val="00282930"/>
    <w:rsid w:val="00287A22"/>
    <w:rsid w:val="00323299"/>
    <w:rsid w:val="003C4FBF"/>
    <w:rsid w:val="004B4438"/>
    <w:rsid w:val="00725EDA"/>
    <w:rsid w:val="008315D7"/>
    <w:rsid w:val="008D7172"/>
    <w:rsid w:val="0094402F"/>
    <w:rsid w:val="00B80A7C"/>
    <w:rsid w:val="00BB2109"/>
    <w:rsid w:val="00D668FD"/>
    <w:rsid w:val="00D6782D"/>
    <w:rsid w:val="00ED3ED6"/>
    <w:rsid w:val="00F77325"/>
    <w:rsid w:val="04685ED4"/>
    <w:rsid w:val="0850192D"/>
    <w:rsid w:val="08CC1138"/>
    <w:rsid w:val="0B047DBD"/>
    <w:rsid w:val="0D6953A0"/>
    <w:rsid w:val="0ED56624"/>
    <w:rsid w:val="12D22CF4"/>
    <w:rsid w:val="16BC52BE"/>
    <w:rsid w:val="1AC54A6D"/>
    <w:rsid w:val="1E255FDB"/>
    <w:rsid w:val="1E37603B"/>
    <w:rsid w:val="20331183"/>
    <w:rsid w:val="2266727C"/>
    <w:rsid w:val="22DA2638"/>
    <w:rsid w:val="24BC6CD8"/>
    <w:rsid w:val="25110B4A"/>
    <w:rsid w:val="256A71B1"/>
    <w:rsid w:val="2A2131D6"/>
    <w:rsid w:val="2EF62B22"/>
    <w:rsid w:val="31262A2C"/>
    <w:rsid w:val="3C3A346C"/>
    <w:rsid w:val="3C5736C0"/>
    <w:rsid w:val="43D70B78"/>
    <w:rsid w:val="454154C3"/>
    <w:rsid w:val="47C8116E"/>
    <w:rsid w:val="4AB948A1"/>
    <w:rsid w:val="4AEA2EE4"/>
    <w:rsid w:val="4BB021DC"/>
    <w:rsid w:val="4C2054F7"/>
    <w:rsid w:val="4F6E1BEC"/>
    <w:rsid w:val="50285660"/>
    <w:rsid w:val="51AB5F20"/>
    <w:rsid w:val="529C68F1"/>
    <w:rsid w:val="54B936B3"/>
    <w:rsid w:val="57D735C1"/>
    <w:rsid w:val="59ED4341"/>
    <w:rsid w:val="5A9F3CAF"/>
    <w:rsid w:val="5C9877D3"/>
    <w:rsid w:val="639B4902"/>
    <w:rsid w:val="653E102A"/>
    <w:rsid w:val="65B979B0"/>
    <w:rsid w:val="68FB170C"/>
    <w:rsid w:val="6E250A38"/>
    <w:rsid w:val="70761FC0"/>
    <w:rsid w:val="742860BB"/>
    <w:rsid w:val="745D49B7"/>
    <w:rsid w:val="796B375D"/>
    <w:rsid w:val="7C1B2231"/>
    <w:rsid w:val="7CBA1D44"/>
    <w:rsid w:val="7F764D90"/>
    <w:rsid w:val="7FCA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tabs>
        <w:tab w:val="center" w:pos="4153"/>
        <w:tab w:val="right" w:pos="8306"/>
      </w:tabs>
      <w:snapToGrid w:val="0"/>
      <w:jc w:val="center"/>
    </w:pPr>
    <w:rPr>
      <w:sz w:val="18"/>
      <w:szCs w:val="18"/>
    </w:rPr>
  </w:style>
  <w:style w:type="paragraph" w:styleId="5">
    <w:name w:val="Body Text Indent 3"/>
    <w:basedOn w:val="1"/>
    <w:autoRedefine/>
    <w:qFormat/>
    <w:uiPriority w:val="0"/>
    <w:pPr>
      <w:snapToGrid w:val="0"/>
      <w:ind w:left="1319" w:leftChars="628" w:firstLine="480" w:firstLineChars="200"/>
      <w:jc w:val="left"/>
    </w:pPr>
    <w:rPr>
      <w:rFonts w:ascii="Times New Roman" w:hAnsi="Times New Roman"/>
      <w:sz w:val="24"/>
      <w:szCs w:val="24"/>
    </w:rPr>
  </w:style>
  <w:style w:type="paragraph" w:styleId="8">
    <w:name w:val="List Paragraph"/>
    <w:basedOn w:val="1"/>
    <w:autoRedefine/>
    <w:qFormat/>
    <w:uiPriority w:val="34"/>
    <w:pPr>
      <w:ind w:firstLine="420" w:firstLineChars="200"/>
    </w:pPr>
  </w:style>
  <w:style w:type="character" w:customStyle="1" w:styleId="9">
    <w:name w:val="font51"/>
    <w:basedOn w:val="7"/>
    <w:autoRedefine/>
    <w:qFormat/>
    <w:uiPriority w:val="0"/>
    <w:rPr>
      <w:rFonts w:hint="eastAsia" w:ascii="宋体" w:hAnsi="宋体" w:eastAsia="宋体" w:cs="Times New Roman"/>
      <w:color w:val="000000"/>
      <w:sz w:val="20"/>
      <w:szCs w:val="20"/>
      <w:u w:val="none"/>
    </w:rPr>
  </w:style>
  <w:style w:type="character" w:customStyle="1" w:styleId="10">
    <w:name w:val="页眉 字符"/>
    <w:basedOn w:val="7"/>
    <w:link w:val="4"/>
    <w:autoRedefine/>
    <w:qFormat/>
    <w:uiPriority w:val="0"/>
    <w:rPr>
      <w:rFonts w:ascii="Calibri" w:hAnsi="Calibri" w:eastAsia="宋体" w:cs="Times New Roman"/>
      <w:kern w:val="2"/>
      <w:sz w:val="18"/>
      <w:szCs w:val="18"/>
    </w:rPr>
  </w:style>
  <w:style w:type="character" w:customStyle="1" w:styleId="11">
    <w:name w:val="页脚 字符"/>
    <w:basedOn w:val="7"/>
    <w:link w:val="3"/>
    <w:autoRedefine/>
    <w:qFormat/>
    <w:uiPriority w:val="0"/>
    <w:rPr>
      <w:rFonts w:ascii="Calibri" w:hAnsi="Calibri" w:eastAsia="宋体" w:cs="Times New Roman"/>
      <w:kern w:val="2"/>
      <w:sz w:val="18"/>
      <w:szCs w:val="18"/>
    </w:rPr>
  </w:style>
  <w:style w:type="character" w:customStyle="1" w:styleId="12">
    <w:name w:val="font61"/>
    <w:basedOn w:val="7"/>
    <w:autoRedefine/>
    <w:qFormat/>
    <w:uiPriority w:val="0"/>
    <w:rPr>
      <w:rFonts w:hint="default" w:ascii="Times New Roman" w:hAnsi="Times New Roman" w:cs="Times New Roman"/>
      <w:color w:val="000000"/>
      <w:sz w:val="20"/>
      <w:szCs w:val="20"/>
      <w:u w:val="none"/>
    </w:rPr>
  </w:style>
  <w:style w:type="character" w:customStyle="1" w:styleId="13">
    <w:name w:val="font11"/>
    <w:basedOn w:val="7"/>
    <w:autoRedefine/>
    <w:qFormat/>
    <w:uiPriority w:val="0"/>
    <w:rPr>
      <w:rFonts w:hint="eastAsia" w:ascii="宋体" w:hAnsi="宋体" w:eastAsia="宋体" w:cs="宋体"/>
      <w:color w:val="000000"/>
      <w:sz w:val="20"/>
      <w:szCs w:val="20"/>
      <w:u w:val="none"/>
    </w:rPr>
  </w:style>
  <w:style w:type="character" w:customStyle="1" w:styleId="14">
    <w:name w:val="font31"/>
    <w:basedOn w:val="7"/>
    <w:autoRedefine/>
    <w:qFormat/>
    <w:uiPriority w:val="0"/>
    <w:rPr>
      <w:rFonts w:hint="eastAsia" w:ascii="宋体" w:hAnsi="宋体" w:eastAsia="宋体" w:cs="宋体"/>
      <w:color w:val="000000"/>
      <w:sz w:val="20"/>
      <w:szCs w:val="20"/>
      <w:u w:val="none"/>
    </w:rPr>
  </w:style>
  <w:style w:type="character" w:customStyle="1" w:styleId="15">
    <w:name w:val="font41"/>
    <w:basedOn w:val="7"/>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5940</Words>
  <Characters>6997</Characters>
  <Lines>73</Lines>
  <Paragraphs>20</Paragraphs>
  <TotalTime>4</TotalTime>
  <ScaleCrop>false</ScaleCrop>
  <LinksUpToDate>false</LinksUpToDate>
  <CharactersWithSpaces>7196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2024-02-23T03:53:00Z</dcterms:created>
  <dc:creator>WPS_1635491849</dc:creator>
  <cp:lastModifiedBy>WPS_1635491849</cp:lastModifiedBy>
  <cp:lastPrinted>2024-05-20T07:30:00Z</cp:lastPrinted>
  <dcterms:modified xsi:type="dcterms:W3CDTF">2024-07-10T02:27:36Z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34F1E13184AD418380563B8DB9EAF524_11</vt:lpwstr>
  </property>
</Properties>
</file>