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olor w:val="auto"/>
          <w:sz w:val="28"/>
          <w:szCs w:val="28"/>
          <w:highlight w:val="none"/>
        </w:rPr>
      </w:pPr>
      <w:r>
        <w:rPr>
          <w:rFonts w:ascii="Times New Roman" w:hAnsi="Times New Roman" w:eastAsia="黑体"/>
          <w:b/>
          <w:color w:val="auto"/>
          <w:sz w:val="28"/>
          <w:szCs w:val="28"/>
          <w:highlight w:val="none"/>
        </w:rPr>
        <w:t>机械工程专业指导性培养计划</w:t>
      </w:r>
    </w:p>
    <w:p>
      <w:pPr>
        <w:adjustRightInd w:val="0"/>
        <w:snapToGrid w:val="0"/>
        <w:spacing w:line="360" w:lineRule="auto"/>
        <w:jc w:val="center"/>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（2024级）</w:t>
      </w:r>
    </w:p>
    <w:p>
      <w:pPr>
        <w:adjustRightInd w:val="0"/>
        <w:snapToGrid w:val="0"/>
        <w:spacing w:line="360" w:lineRule="auto"/>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 xml:space="preserve">专业代码：080201  </w:t>
      </w:r>
    </w:p>
    <w:p>
      <w:pPr>
        <w:adjustRightInd w:val="0"/>
        <w:snapToGrid w:val="0"/>
        <w:spacing w:line="360" w:lineRule="auto"/>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执笔：崔立</w:t>
      </w:r>
      <w:r>
        <w:rPr>
          <w:rFonts w:hint="eastAsia" w:ascii="Times New Roman" w:hAnsi="Times New Roman" w:eastAsia="黑体"/>
          <w:b/>
          <w:bCs/>
          <w:color w:val="auto"/>
          <w:szCs w:val="21"/>
          <w:highlight w:val="none"/>
        </w:rPr>
        <w:t xml:space="preserve">、田浩彬 </w:t>
      </w:r>
      <w:r>
        <w:rPr>
          <w:rFonts w:ascii="Times New Roman" w:hAnsi="Times New Roman" w:eastAsia="黑体"/>
          <w:b/>
          <w:bCs/>
          <w:color w:val="auto"/>
          <w:szCs w:val="21"/>
          <w:highlight w:val="none"/>
        </w:rPr>
        <w:t xml:space="preserve">         审核：陈关龙 汪志锋</w:t>
      </w:r>
    </w:p>
    <w:p>
      <w:pPr>
        <w:adjustRightInd w:val="0"/>
        <w:snapToGrid w:val="0"/>
        <w:spacing w:line="360" w:lineRule="auto"/>
        <w:contextualSpacing/>
        <w:rPr>
          <w:rFonts w:ascii="Times New Roman" w:hAnsi="Times New Roman" w:eastAsia="黑体"/>
          <w:b/>
          <w:color w:val="auto"/>
          <w:szCs w:val="21"/>
          <w:highlight w:val="none"/>
        </w:rPr>
      </w:pPr>
    </w:p>
    <w:p>
      <w:pPr>
        <w:adjustRightInd w:val="0"/>
        <w:snapToGrid w:val="0"/>
        <w:spacing w:line="360" w:lineRule="auto"/>
        <w:contextualSpacing/>
        <w:rPr>
          <w:rFonts w:ascii="Times New Roman" w:hAnsi="Times New Roman" w:eastAsia="黑体"/>
          <w:b/>
          <w:color w:val="auto"/>
          <w:szCs w:val="21"/>
          <w:highlight w:val="none"/>
        </w:rPr>
      </w:pPr>
      <w:r>
        <w:rPr>
          <w:rFonts w:ascii="Times New Roman" w:hAnsi="Times New Roman" w:eastAsia="黑体"/>
          <w:b/>
          <w:color w:val="auto"/>
          <w:szCs w:val="21"/>
          <w:highlight w:val="none"/>
        </w:rPr>
        <w:t xml:space="preserve">一，培养目标 </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本专业强化立德树人根本任务，弘扬工匠精神、劳模精神价值取向，培养具有扎实的自然科学基础理论及工程基础知识、良好的人文素养和职业道德，具备良好的沟通协作和终身学习能力，掌握机械设计、机械制造及其自动化的专业知识，具备较强的工程实践能力，能在机械工程及其相关领域从事设计制造、技术开发、工程应用、生产管理及技术服务等方面工作的德、智、体、美、劳全面发展的高素质应用技术型人才。</w:t>
      </w:r>
    </w:p>
    <w:p>
      <w:pPr>
        <w:adjustRightInd w:val="0"/>
        <w:snapToGrid w:val="0"/>
        <w:spacing w:line="360" w:lineRule="auto"/>
        <w:ind w:firstLine="420" w:firstLineChars="200"/>
        <w:contextualSpacing/>
        <w:rPr>
          <w:rFonts w:ascii="Times New Roman" w:hAnsi="Times New Roman"/>
          <w:color w:val="auto"/>
          <w:szCs w:val="24"/>
          <w:highlight w:val="none"/>
        </w:rPr>
      </w:pPr>
      <w:r>
        <w:rPr>
          <w:rFonts w:ascii="Times New Roman" w:hAnsi="Times New Roman"/>
          <w:color w:val="auto"/>
          <w:szCs w:val="24"/>
          <w:highlight w:val="none"/>
        </w:rPr>
        <w:t>本专业学生毕业5年后须达到以下目标：</w:t>
      </w:r>
    </w:p>
    <w:p>
      <w:pPr>
        <w:pStyle w:val="7"/>
        <w:numPr>
          <w:ilvl w:val="0"/>
          <w:numId w:val="2"/>
        </w:numPr>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能够适应机械工程的技术发展，利用专业理论和工程技术知识，提出解决实际工作中机械工程及相关领域的复杂工程问题的解决方案。</w:t>
      </w:r>
    </w:p>
    <w:p>
      <w:pPr>
        <w:pStyle w:val="7"/>
        <w:numPr>
          <w:ilvl w:val="0"/>
          <w:numId w:val="2"/>
        </w:numPr>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具备技术创新意识并能够发挥工程创新能力，能综合应用专业知识和现代工具，从事机械工程及相关领域的复杂工程问题的相关产品的设计、开发和生产，以满足企业、机构和用户的需求。</w:t>
      </w:r>
    </w:p>
    <w:p>
      <w:pPr>
        <w:pStyle w:val="7"/>
        <w:numPr>
          <w:ilvl w:val="0"/>
          <w:numId w:val="2"/>
        </w:numPr>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具有社会责任感，理解并遵守职业规范，在工程实践中能综合考虑法律、安全、环境与可持续性发展等因素的影响。</w:t>
      </w:r>
    </w:p>
    <w:p>
      <w:pPr>
        <w:pStyle w:val="7"/>
        <w:numPr>
          <w:ilvl w:val="0"/>
          <w:numId w:val="2"/>
        </w:numPr>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具备良好的人文科学素养和崇尚劳动、无私奉献的精神，具备团队协作、有效的沟通表达能力和工程项目管理的能力。</w:t>
      </w:r>
    </w:p>
    <w:p>
      <w:pPr>
        <w:pStyle w:val="7"/>
        <w:numPr>
          <w:ilvl w:val="0"/>
          <w:numId w:val="2"/>
        </w:numPr>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能够在实际工作中跟踪机械工程领域国内外现状和发展趋势，具有国际化视野，拥有自主学习和终身学习的能力。</w:t>
      </w:r>
    </w:p>
    <w:p>
      <w:pPr>
        <w:pStyle w:val="2"/>
        <w:numPr>
          <w:ilvl w:val="0"/>
          <w:numId w:val="0"/>
        </w:numPr>
        <w:tabs>
          <w:tab w:val="left" w:pos="567"/>
        </w:tabs>
        <w:snapToGrid w:val="0"/>
        <w:spacing w:before="0" w:after="0" w:line="360" w:lineRule="auto"/>
        <w:contextualSpacing/>
        <w:rPr>
          <w:rFonts w:eastAsia="黑体"/>
          <w:color w:val="auto"/>
          <w:sz w:val="21"/>
          <w:szCs w:val="21"/>
          <w:highlight w:val="none"/>
        </w:rPr>
      </w:pPr>
      <w:r>
        <w:rPr>
          <w:rFonts w:eastAsia="黑体"/>
          <w:color w:val="auto"/>
          <w:sz w:val="21"/>
          <w:szCs w:val="21"/>
          <w:highlight w:val="none"/>
        </w:rPr>
        <w:t>二，毕业要求</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 xml:space="preserve">机械工程专业根据上海第二工业大学“厚生、厚德、厚技”校训和中国工程教育专业认证协会通用标准的12项毕业要求，结合我校人才培养定位对12项毕业要求的核心能力和素质表达进行内涵扩展，各项毕业要求观测点分解如下： </w:t>
      </w:r>
    </w:p>
    <w:p>
      <w:pPr>
        <w:adjustRightInd w:val="0"/>
        <w:snapToGrid w:val="0"/>
        <w:spacing w:line="360" w:lineRule="auto"/>
        <w:ind w:firstLine="422" w:firstLineChars="200"/>
        <w:contextualSpacing/>
        <w:rPr>
          <w:rFonts w:ascii="Times New Roman" w:hAnsi="Times New Roman"/>
          <w:color w:val="auto"/>
          <w:szCs w:val="21"/>
          <w:highlight w:val="none"/>
        </w:rPr>
      </w:pPr>
      <w:r>
        <w:rPr>
          <w:rFonts w:ascii="Times New Roman" w:hAnsi="Times New Roman"/>
          <w:b/>
          <w:color w:val="auto"/>
          <w:szCs w:val="21"/>
          <w:highlight w:val="none"/>
        </w:rPr>
        <w:t>1.工程知识：</w:t>
      </w:r>
      <w:r>
        <w:rPr>
          <w:rFonts w:ascii="Times New Roman" w:hAnsi="Times New Roman"/>
          <w:bCs/>
          <w:color w:val="auto"/>
          <w:szCs w:val="21"/>
          <w:highlight w:val="none"/>
        </w:rPr>
        <w:t>能够将数学、自然科学、工程基础和专业知识用于解决机械工程及相关领域的复杂工程问题。</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观测点1-1：</w:t>
      </w:r>
      <w:r>
        <w:rPr>
          <w:rFonts w:ascii="Times New Roman" w:hAnsi="Times New Roman"/>
          <w:color w:val="auto"/>
          <w:highlight w:val="none"/>
        </w:rPr>
        <w:t>掌握数学、物理等自然科学和工程基础的概念和规律，能理解其在解决机械工程领域复杂问题所发挥的作用，并具备将其应用于机械工程专业知识的能力；</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 xml:space="preserve">观测点1-2：能够针对一个复杂机械系统或者机械制造过程建立数学模型，并求解； </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 xml:space="preserve">观测点1-3：能够将相关知识和数学模型用于机械工程及相关领域的复杂工程问题解决方案的推演、分析、判别； </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观测点1-4：能够应用数学模型和相关工程知识对机械工程及相关领域的复杂工程问题的解决方案进行分析、比较，试图改进。</w:t>
      </w:r>
    </w:p>
    <w:p>
      <w:pPr>
        <w:adjustRightInd w:val="0"/>
        <w:snapToGrid w:val="0"/>
        <w:spacing w:line="360" w:lineRule="auto"/>
        <w:ind w:firstLine="422" w:firstLineChars="200"/>
        <w:contextualSpacing/>
        <w:rPr>
          <w:rFonts w:ascii="Times New Roman" w:hAnsi="Times New Roman"/>
          <w:bCs/>
          <w:color w:val="auto"/>
          <w:szCs w:val="21"/>
          <w:highlight w:val="none"/>
        </w:rPr>
      </w:pPr>
      <w:r>
        <w:rPr>
          <w:rFonts w:ascii="Times New Roman" w:hAnsi="Times New Roman"/>
          <w:b/>
          <w:color w:val="auto"/>
          <w:szCs w:val="21"/>
          <w:highlight w:val="none"/>
        </w:rPr>
        <w:t>2.问题分析：</w:t>
      </w:r>
      <w:r>
        <w:rPr>
          <w:rFonts w:ascii="Times New Roman" w:hAnsi="Times New Roman"/>
          <w:bCs/>
          <w:color w:val="auto"/>
          <w:szCs w:val="21"/>
          <w:highlight w:val="none"/>
        </w:rPr>
        <w:t>能够应用数学、自然科学和工程科学的基本原理，识别、表达、并通过文献研究分析机械工程及相关领域的复杂工程问题，以获得有效结论。</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观测点2-1：能运用数学、自然科学和工程科学的基本原理，识别和判断机械工程及相关领域的复杂工程问题的关键技术和参数；</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观测点2-2：能基于相关科学原理和数学模型正确表达和分析机械工程及相关领域的复杂工程问题；</w:t>
      </w:r>
    </w:p>
    <w:p>
      <w:pPr>
        <w:adjustRightInd w:val="0"/>
        <w:snapToGrid w:val="0"/>
        <w:spacing w:line="360" w:lineRule="auto"/>
        <w:ind w:firstLine="420" w:firstLineChars="200"/>
        <w:contextualSpacing/>
        <w:rPr>
          <w:rFonts w:ascii="Times New Roman" w:hAnsi="Times New Roman"/>
          <w:color w:val="auto"/>
          <w:szCs w:val="21"/>
          <w:highlight w:val="none"/>
        </w:rPr>
      </w:pPr>
      <w:r>
        <w:rPr>
          <w:rFonts w:ascii="Times New Roman" w:hAnsi="Times New Roman"/>
          <w:color w:val="auto"/>
          <w:szCs w:val="21"/>
          <w:highlight w:val="none"/>
        </w:rPr>
        <w:t>观测点2-3：能认识到解决机械工程及相关领域的复杂工程问题有多种方案，会通过文献研究寻求可替代和备用的解决方案；</w:t>
      </w:r>
    </w:p>
    <w:p>
      <w:pPr>
        <w:adjustRightInd w:val="0"/>
        <w:snapToGrid w:val="0"/>
        <w:spacing w:line="360" w:lineRule="auto"/>
        <w:ind w:firstLine="420" w:firstLineChars="200"/>
        <w:contextualSpacing/>
        <w:rPr>
          <w:rFonts w:ascii="Times New Roman" w:hAnsi="Times New Roman"/>
          <w:b/>
          <w:color w:val="auto"/>
          <w:szCs w:val="21"/>
          <w:highlight w:val="none"/>
        </w:rPr>
      </w:pPr>
      <w:r>
        <w:rPr>
          <w:rFonts w:ascii="Times New Roman" w:hAnsi="Times New Roman"/>
          <w:color w:val="auto"/>
          <w:szCs w:val="21"/>
          <w:highlight w:val="none"/>
        </w:rPr>
        <w:t>观测点2-4：能运用机械工程及相关领域的基本原理，分析解决方案在实施过程中可能受到的影响，获得有效结论。</w:t>
      </w:r>
    </w:p>
    <w:p>
      <w:pPr>
        <w:adjustRightInd w:val="0"/>
        <w:snapToGrid w:val="0"/>
        <w:spacing w:line="360" w:lineRule="auto"/>
        <w:ind w:firstLine="422" w:firstLineChars="200"/>
        <w:contextualSpacing/>
        <w:rPr>
          <w:rFonts w:ascii="Times New Roman" w:hAnsi="Times New Roman"/>
          <w:color w:val="auto"/>
          <w:szCs w:val="21"/>
          <w:highlight w:val="none"/>
        </w:rPr>
      </w:pPr>
      <w:r>
        <w:rPr>
          <w:rFonts w:ascii="Times New Roman" w:hAnsi="Times New Roman"/>
          <w:b/>
          <w:color w:val="auto"/>
          <w:szCs w:val="21"/>
          <w:highlight w:val="none"/>
        </w:rPr>
        <w:t>3.设计/开发解决方案</w:t>
      </w:r>
      <w:r>
        <w:rPr>
          <w:rFonts w:ascii="Times New Roman" w:hAnsi="Times New Roman"/>
          <w:color w:val="auto"/>
          <w:szCs w:val="21"/>
          <w:highlight w:val="none"/>
        </w:rPr>
        <w:t>：能够针对机械工程及相关领域的复杂工程问题设计方案，设计满足特定需求的机械系统、机械部件或机械加工工艺流程，并在设计环节中体现创新意识，考虑社会、健康、安全、法律、文化以及环境等因素。</w:t>
      </w:r>
    </w:p>
    <w:p>
      <w:pPr>
        <w:adjustRightInd w:val="0"/>
        <w:snapToGrid w:val="0"/>
        <w:spacing w:line="360" w:lineRule="auto"/>
        <w:ind w:firstLine="420" w:firstLineChars="200"/>
        <w:contextualSpacing/>
        <w:rPr>
          <w:rFonts w:ascii="Times New Roman" w:hAnsi="Times New Roman"/>
          <w:color w:val="auto"/>
          <w:szCs w:val="24"/>
          <w:highlight w:val="none"/>
        </w:rPr>
      </w:pPr>
      <w:r>
        <w:rPr>
          <w:rFonts w:ascii="Times New Roman" w:hAnsi="Times New Roman"/>
          <w:color w:val="auto"/>
          <w:szCs w:val="24"/>
          <w:highlight w:val="none"/>
        </w:rPr>
        <w:t xml:space="preserve">观测点3-1：掌握机械工程设计和机械产品开发的全生命周期、全流程的基本设计/开发方法和技术，描述设计目标，了解影响设计目标和技术方案的各种因素； </w:t>
      </w:r>
    </w:p>
    <w:p>
      <w:pPr>
        <w:adjustRightInd w:val="0"/>
        <w:snapToGrid w:val="0"/>
        <w:spacing w:line="360" w:lineRule="auto"/>
        <w:ind w:firstLine="420" w:firstLineChars="200"/>
        <w:contextualSpacing/>
        <w:rPr>
          <w:rFonts w:ascii="Times New Roman" w:hAnsi="Times New Roman"/>
          <w:color w:val="auto"/>
          <w:szCs w:val="24"/>
          <w:highlight w:val="none"/>
        </w:rPr>
      </w:pPr>
      <w:r>
        <w:rPr>
          <w:rFonts w:ascii="Times New Roman" w:hAnsi="Times New Roman"/>
          <w:color w:val="auto"/>
          <w:szCs w:val="24"/>
          <w:highlight w:val="none"/>
        </w:rPr>
        <w:t>观测点3-2：能够针对机械工程</w:t>
      </w:r>
      <w:r>
        <w:rPr>
          <w:rFonts w:ascii="Times New Roman" w:hAnsi="Times New Roman"/>
          <w:color w:val="auto"/>
          <w:szCs w:val="21"/>
          <w:highlight w:val="none"/>
        </w:rPr>
        <w:t>及相关领域</w:t>
      </w:r>
      <w:r>
        <w:rPr>
          <w:rFonts w:ascii="Times New Roman" w:hAnsi="Times New Roman"/>
          <w:color w:val="auto"/>
          <w:szCs w:val="24"/>
          <w:highlight w:val="none"/>
        </w:rPr>
        <w:t xml:space="preserve">的复杂工程问题，制定解决方案，完成部件和零件设计； </w:t>
      </w:r>
    </w:p>
    <w:p>
      <w:pPr>
        <w:adjustRightInd w:val="0"/>
        <w:snapToGrid w:val="0"/>
        <w:spacing w:line="360" w:lineRule="auto"/>
        <w:ind w:firstLine="420" w:firstLineChars="200"/>
        <w:contextualSpacing/>
        <w:rPr>
          <w:rFonts w:ascii="Times New Roman" w:hAnsi="Times New Roman"/>
          <w:color w:val="auto"/>
          <w:szCs w:val="24"/>
          <w:highlight w:val="none"/>
        </w:rPr>
      </w:pPr>
      <w:r>
        <w:rPr>
          <w:rFonts w:ascii="Times New Roman" w:hAnsi="Times New Roman"/>
          <w:color w:val="auto"/>
          <w:szCs w:val="24"/>
          <w:highlight w:val="none"/>
        </w:rPr>
        <w:t>观测点3-3：能够设计满足特定要求的复杂机械系统或制造工艺流程，并在设计中体现创新意识；</w:t>
      </w:r>
    </w:p>
    <w:p>
      <w:pPr>
        <w:adjustRightInd w:val="0"/>
        <w:snapToGrid w:val="0"/>
        <w:spacing w:line="360" w:lineRule="auto"/>
        <w:ind w:firstLine="420" w:firstLineChars="200"/>
        <w:contextualSpacing/>
        <w:rPr>
          <w:rFonts w:ascii="Times New Roman" w:hAnsi="Times New Roman"/>
          <w:color w:val="auto"/>
          <w:szCs w:val="24"/>
          <w:highlight w:val="none"/>
        </w:rPr>
      </w:pPr>
      <w:r>
        <w:rPr>
          <w:rFonts w:ascii="Times New Roman" w:hAnsi="Times New Roman"/>
          <w:color w:val="auto"/>
          <w:szCs w:val="24"/>
          <w:highlight w:val="none"/>
        </w:rPr>
        <w:t xml:space="preserve">观测点3-4：能够在设计中综合考虑社会、健康、安全、法律、伦理、文化及环境等因素。 </w:t>
      </w:r>
    </w:p>
    <w:p>
      <w:pPr>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4.研究：</w:t>
      </w:r>
      <w:r>
        <w:rPr>
          <w:rFonts w:ascii="Times New Roman" w:hAnsi="Times New Roman"/>
          <w:bCs/>
          <w:color w:val="auto"/>
          <w:szCs w:val="21"/>
          <w:highlight w:val="none"/>
        </w:rPr>
        <w:t>能够基于科学原理并采用科学方法对机械工程及相关领域的复杂工程问题进行研究，包括设计实验、分析与解释数据、并通过信息综合得到合理有效的结论。</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观测点4-1：能够基于科学原理，结合文献研究或相关方法，针对机械工程及相关领域的复杂工程问题，进行调研和分析；</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观测点4-2：能够针对机械系统、控制系统等机械工程及相关领域的复杂工程问题的特征，选择研究路线，设计实验方案；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观测点4-3：能够根据实验方案构建实验系统，安全规范地开展实验，正确地采集实验数据；</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观测点4-4：能对实验结果进行正确地分析和解释，并通过信息综合得到合理有效的结论。</w:t>
      </w:r>
    </w:p>
    <w:p>
      <w:pPr>
        <w:adjustRightInd w:val="0"/>
        <w:snapToGrid w:val="0"/>
        <w:spacing w:line="360" w:lineRule="auto"/>
        <w:ind w:firstLine="420" w:firstLineChars="200"/>
        <w:rPr>
          <w:rFonts w:ascii="Times New Roman" w:hAnsi="Times New Roman"/>
          <w:color w:val="auto"/>
          <w:szCs w:val="21"/>
          <w:highlight w:val="none"/>
        </w:rPr>
      </w:pP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5.使用现代工具：</w:t>
      </w:r>
      <w:r>
        <w:rPr>
          <w:rFonts w:ascii="Times New Roman" w:hAnsi="Times New Roman"/>
          <w:bCs/>
          <w:color w:val="auto"/>
          <w:szCs w:val="21"/>
          <w:highlight w:val="none"/>
        </w:rPr>
        <w:t>能够针对机械工程及相关领域的复杂工程问题，开发、选择与使用恰当的技术、资源、现代工程工具和信息技术工具，包括对机械工程及相关领域的复杂工程问题的预测与模拟，并能够理解其局限性。</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观测点5-1：了解机械工程专业常用的现代仪器、信息技术工具、工程工具和模拟软件的使用原理和方法，并理解其使用局限性；</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观测点5-2：能够选择与使用恰当的仪器、信息资源、工程工具和专业模拟软件，对机械工程及相关领域的复杂工程问题进行分析、计算与设计；</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观测点5-3：能够针对机械工程及相关领域的复杂工程问题的具体对象，开发或选用满足特定需求的现代工具，模拟和预测专业问题，并能够分析其局限性。</w:t>
      </w:r>
    </w:p>
    <w:p>
      <w:pPr>
        <w:adjustRightInd w:val="0"/>
        <w:snapToGrid w:val="0"/>
        <w:spacing w:line="360" w:lineRule="auto"/>
        <w:ind w:firstLine="422" w:firstLineChars="200"/>
        <w:rPr>
          <w:rFonts w:ascii="Times New Roman" w:hAnsi="Times New Roman"/>
          <w:b/>
          <w:color w:val="auto"/>
          <w:szCs w:val="21"/>
          <w:highlight w:val="none"/>
        </w:rPr>
      </w:pPr>
      <w:r>
        <w:rPr>
          <w:rFonts w:ascii="Times New Roman" w:hAnsi="Times New Roman"/>
          <w:b/>
          <w:color w:val="auto"/>
          <w:szCs w:val="21"/>
          <w:highlight w:val="none"/>
        </w:rPr>
        <w:t>6.工程与社会：</w:t>
      </w:r>
      <w:r>
        <w:rPr>
          <w:rFonts w:ascii="Times New Roman" w:hAnsi="Times New Roman"/>
          <w:color w:val="auto"/>
          <w:szCs w:val="21"/>
          <w:highlight w:val="none"/>
        </w:rPr>
        <w:t>能够基于工程相关背景知识进行合理分析，评价机械工程及相关领域的工程实践和复杂工程问题解决方案对社会、健康、安全、法律以及文化的影响，并理解应承担的责任。</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观测点6-1：了解机械工程相关领域的技术标准体系、知识产权、产业政策和法律法规，理解不同社会文化对工程活动的影响；</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观测点6-2：能分析和评价机械工程实践及复杂工程问题对社会、健康、安全、法律、文化的影响，以及这些制约因素对项目实施的影响，并理解应承担的责任。</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7.环境和可持续发展</w:t>
      </w:r>
      <w:r>
        <w:rPr>
          <w:rFonts w:ascii="Times New Roman" w:hAnsi="Times New Roman"/>
          <w:color w:val="auto"/>
          <w:szCs w:val="21"/>
          <w:highlight w:val="none"/>
        </w:rPr>
        <w:t>：能够理解和评价针对机械工程及相关领域的复杂工程问题的工程实践对环境、社会可持续发展的影响。</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观测点7-1：理解环境保护和社会可持续发展的内涵和意义，能够在解决机械工程及相关领域的复杂工程问题时，践行环保和可持续发展的理念；</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观测点7-2：能针对实际机械工程项目，评价其可能对人类和环境造成的损害和隐患，并理解应承担的社会、安全和法律责任。</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8.职业规范：</w:t>
      </w:r>
      <w:r>
        <w:rPr>
          <w:rFonts w:ascii="Times New Roman" w:hAnsi="Times New Roman"/>
          <w:color w:val="auto"/>
          <w:szCs w:val="21"/>
          <w:highlight w:val="none"/>
        </w:rPr>
        <w:t>具有人文社会科学素养、社会责任感，能够在机械工程实践中理解并遵守工程职业道德和规范，履行责任。</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观测点8-1：具有人文社会科学素养，有正确价值观，理解个人与社会的关系，了解中国国情；</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观测点8-2：理解诚实公正、诚信守则的工程职业道德和规范，并能在机械工程实践中自觉遵守；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观测点8-3：理解机械工程师对公众的安全、健康和福祉，以及环境保护的社会责任，能够在机械工程实践中自觉履行责任。</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9.个人和团队：</w:t>
      </w:r>
      <w:r>
        <w:rPr>
          <w:rFonts w:ascii="Times New Roman" w:hAnsi="Times New Roman"/>
          <w:color w:val="auto"/>
          <w:szCs w:val="21"/>
          <w:highlight w:val="none"/>
        </w:rPr>
        <w:t>能够在多学科背景下的团队中承担个体、团队成员以及负责人的角色。</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观测点9-1：能与其他学科的成员有效沟通、主动合作；</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观测点9-2：能在团队中独立或合作开展工作，具备良好的团队合作精神；</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观测点9-3：能够承担团队负责人的角色，把握好项目的工作进度，组织和协调团队成员开展工作。</w:t>
      </w:r>
    </w:p>
    <w:p>
      <w:pPr>
        <w:adjustRightInd w:val="0"/>
        <w:snapToGrid w:val="0"/>
        <w:spacing w:line="360" w:lineRule="auto"/>
        <w:ind w:firstLine="420"/>
        <w:rPr>
          <w:rFonts w:ascii="Times New Roman" w:hAnsi="Times New Roman"/>
          <w:bCs/>
          <w:color w:val="auto"/>
          <w:szCs w:val="21"/>
          <w:highlight w:val="none"/>
        </w:rPr>
      </w:pPr>
      <w:r>
        <w:rPr>
          <w:rFonts w:ascii="Times New Roman" w:hAnsi="Times New Roman"/>
          <w:b/>
          <w:color w:val="auto"/>
          <w:szCs w:val="21"/>
          <w:highlight w:val="none"/>
        </w:rPr>
        <w:t>10.沟通：</w:t>
      </w:r>
      <w:r>
        <w:rPr>
          <w:rFonts w:ascii="Times New Roman" w:hAnsi="Times New Roman"/>
          <w:bCs/>
          <w:color w:val="auto"/>
          <w:szCs w:val="21"/>
          <w:highlight w:val="none"/>
        </w:rPr>
        <w:t>能够就机械工程及相关领域的复杂工程问题与业界同行及社会公众进行有效沟通和交流，包括撰写报告和设计文稿、陈述发言、清晰表达或回应指令，并具备一定的国际视野，能够在跨文化背景下进行沟通和交流。</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观测点10-1：能就机械工程及相关领域的复杂工程问题，以口头、文稿、图表或图纸等方式，准确表达自己的观点，回应质疑，理解与业界同行和社会公众交流的差异性；</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观测点10-2：了解机械工程领域的国际发展趋势、研究热点，理解和尊重世界不同文化的差异性和多样性；</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观测点10-3：具备跨文化交流的语言和书面表达能力，能就机械工程的复杂工程问题，在跨文化背景下进行基本沟通和交流。</w:t>
      </w:r>
    </w:p>
    <w:p>
      <w:p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11.</w:t>
      </w:r>
      <w:r>
        <w:rPr>
          <w:rFonts w:ascii="Times New Roman" w:hAnsi="Times New Roman"/>
          <w:color w:val="auto"/>
          <w:szCs w:val="21"/>
          <w:highlight w:val="none"/>
        </w:rPr>
        <w:t xml:space="preserve"> </w:t>
      </w:r>
      <w:r>
        <w:rPr>
          <w:rFonts w:ascii="Times New Roman" w:hAnsi="Times New Roman"/>
          <w:b/>
          <w:color w:val="auto"/>
          <w:szCs w:val="21"/>
          <w:highlight w:val="none"/>
        </w:rPr>
        <w:t>项目管理：</w:t>
      </w:r>
      <w:r>
        <w:rPr>
          <w:rFonts w:ascii="Times New Roman" w:hAnsi="Times New Roman"/>
          <w:color w:val="auto"/>
          <w:szCs w:val="21"/>
          <w:highlight w:val="none"/>
        </w:rPr>
        <w:t>理解并掌握工程管理原理与经济决策方法，并能在多学科环境中应用。</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观测点11-1：掌握机械工程活动所涉及的工程管理原理与经济决策方法；</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观测点11-2：了解工程及机械产品全生命周期、全流程的成本构成，理解其中涉及的工程管理与经济决策问题；</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观测点11-3：能在多学科环境下（包括模拟环境），在设计开发机械工程项目解决方案的过程中，运用工程管理与经济决策方法。</w:t>
      </w:r>
    </w:p>
    <w:p>
      <w:pPr>
        <w:numPr>
          <w:ilvl w:val="0"/>
          <w:numId w:val="3"/>
        </w:numPr>
        <w:adjustRightInd w:val="0"/>
        <w:snapToGrid w:val="0"/>
        <w:spacing w:line="360" w:lineRule="auto"/>
        <w:ind w:firstLine="422" w:firstLineChars="200"/>
        <w:rPr>
          <w:rFonts w:ascii="Times New Roman" w:hAnsi="Times New Roman"/>
          <w:color w:val="auto"/>
          <w:szCs w:val="21"/>
          <w:highlight w:val="none"/>
        </w:rPr>
      </w:pPr>
      <w:r>
        <w:rPr>
          <w:rFonts w:ascii="Times New Roman" w:hAnsi="Times New Roman"/>
          <w:b/>
          <w:color w:val="auto"/>
          <w:szCs w:val="21"/>
          <w:highlight w:val="none"/>
        </w:rPr>
        <w:t>终身学习：</w:t>
      </w:r>
      <w:r>
        <w:rPr>
          <w:rFonts w:ascii="Times New Roman" w:hAnsi="Times New Roman"/>
          <w:color w:val="auto"/>
          <w:szCs w:val="21"/>
          <w:highlight w:val="none"/>
        </w:rPr>
        <w:t>具有自主学习和终身学习的意识，有不断学习和适应发展的能力。</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观测点12-1：能正确认识自我探索和终身学习的必要性，具有自主学习和终身学习的意识；</w:t>
      </w:r>
    </w:p>
    <w:p>
      <w:pPr>
        <w:adjustRightInd w:val="0"/>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观测点12-2：掌握自主学习的方法，了解拓展知识和能力的途径，关注专业发展的动态，具有适应发展和知识更新的能力。</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三，学制</w:t>
      </w:r>
    </w:p>
    <w:p>
      <w:pPr>
        <w:adjustRightInd w:val="0"/>
        <w:snapToGrid w:val="0"/>
        <w:spacing w:line="360" w:lineRule="auto"/>
        <w:ind w:left="420"/>
        <w:rPr>
          <w:rFonts w:ascii="Times New Roman" w:hAnsi="Times New Roman"/>
          <w:color w:val="auto"/>
          <w:szCs w:val="21"/>
          <w:highlight w:val="none"/>
        </w:rPr>
      </w:pPr>
      <w:r>
        <w:rPr>
          <w:rFonts w:ascii="Times New Roman" w:hAnsi="Times New Roman"/>
          <w:color w:val="auto"/>
          <w:szCs w:val="21"/>
          <w:highlight w:val="none"/>
        </w:rPr>
        <w:t>四年</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四，修业年限</w:t>
      </w:r>
    </w:p>
    <w:p>
      <w:pPr>
        <w:adjustRightInd w:val="0"/>
        <w:snapToGrid w:val="0"/>
        <w:spacing w:line="360" w:lineRule="auto"/>
        <w:ind w:left="420"/>
        <w:rPr>
          <w:rFonts w:ascii="Times New Roman" w:hAnsi="Times New Roman"/>
          <w:color w:val="auto"/>
          <w:szCs w:val="21"/>
          <w:highlight w:val="none"/>
        </w:rPr>
      </w:pPr>
      <w:r>
        <w:rPr>
          <w:rFonts w:ascii="Times New Roman" w:hAnsi="Times New Roman"/>
          <w:color w:val="auto"/>
          <w:szCs w:val="21"/>
          <w:highlight w:val="none"/>
        </w:rPr>
        <w:t>实行弹性修业年限，一般为四年，弹性幅度最短不低于三年，最长不多于六年。</w:t>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五，毕业与学位授予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本专业学生必须按指导性培养计划的要求修读完成各类别课程规定的最低学分、并完成第二课堂规定的所有内容，总学分达到16</w:t>
      </w:r>
      <w:r>
        <w:rPr>
          <w:rFonts w:hint="eastAsia" w:ascii="Times New Roman" w:hAnsi="Times New Roman"/>
          <w:color w:val="auto"/>
          <w:szCs w:val="21"/>
          <w:highlight w:val="none"/>
          <w:lang w:val="en-US" w:eastAsia="zh-CN"/>
        </w:rPr>
        <w:t>6</w:t>
      </w:r>
      <w:r>
        <w:rPr>
          <w:rFonts w:ascii="Times New Roman" w:hAnsi="Times New Roman"/>
          <w:color w:val="auto"/>
          <w:szCs w:val="21"/>
          <w:highlight w:val="none"/>
        </w:rPr>
        <w:t>学分，方可毕业；达到学士学位授予条件者，授予工学学士学位。</w:t>
      </w:r>
    </w:p>
    <w:p>
      <w:pPr>
        <w:adjustRightInd w:val="0"/>
        <w:snapToGrid w:val="0"/>
        <w:spacing w:line="360" w:lineRule="auto"/>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六，主干学科</w:t>
      </w:r>
    </w:p>
    <w:p>
      <w:pPr>
        <w:adjustRightInd w:val="0"/>
        <w:snapToGrid w:val="0"/>
        <w:spacing w:line="360" w:lineRule="auto"/>
        <w:ind w:left="238" w:firstLine="210" w:firstLineChars="100"/>
        <w:rPr>
          <w:rFonts w:ascii="Times New Roman" w:hAnsi="Times New Roman"/>
          <w:color w:val="auto"/>
          <w:szCs w:val="21"/>
          <w:highlight w:val="none"/>
        </w:rPr>
      </w:pPr>
      <w:r>
        <w:rPr>
          <w:rFonts w:ascii="Times New Roman" w:hAnsi="Times New Roman"/>
          <w:color w:val="auto"/>
          <w:szCs w:val="21"/>
          <w:highlight w:val="none"/>
        </w:rPr>
        <w:t>机械工程、力学</w:t>
      </w:r>
    </w:p>
    <w:p>
      <w:pPr>
        <w:adjustRightInd w:val="0"/>
        <w:snapToGrid w:val="0"/>
        <w:spacing w:line="360" w:lineRule="auto"/>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七，专业核心课程</w:t>
      </w:r>
    </w:p>
    <w:p>
      <w:pPr>
        <w:tabs>
          <w:tab w:val="left" w:pos="5718"/>
        </w:tabs>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工程导论、现代工程制图、工程力学I、工程力学II、机械原理、机械设计、电工与电子学、机械制造工艺、数控机床与编程、智能制造生产管理（MES/ERP）、互换性及测量技术实践、计算机辅助设计及制造实践、数控编程及加工实践、机制工艺规程设计实践、机械工程综合实践。</w:t>
      </w:r>
    </w:p>
    <w:p>
      <w:pPr>
        <w:pStyle w:val="2"/>
        <w:numPr>
          <w:ilvl w:val="0"/>
          <w:numId w:val="0"/>
        </w:numPr>
        <w:tabs>
          <w:tab w:val="left" w:pos="567"/>
        </w:tabs>
        <w:snapToGrid w:val="0"/>
        <w:spacing w:before="0" w:after="0" w:line="360" w:lineRule="auto"/>
        <w:rPr>
          <w:rFonts w:eastAsia="黑体"/>
          <w:color w:val="auto"/>
          <w:sz w:val="21"/>
          <w:szCs w:val="21"/>
          <w:highlight w:val="none"/>
        </w:rPr>
      </w:pPr>
      <w:r>
        <w:rPr>
          <w:rFonts w:eastAsia="黑体"/>
          <w:color w:val="auto"/>
          <w:sz w:val="21"/>
          <w:szCs w:val="21"/>
          <w:highlight w:val="none"/>
        </w:rPr>
        <w:t>八，课程体系构成及学时分配比例（不含第二课堂）</w:t>
      </w:r>
    </w:p>
    <w:tbl>
      <w:tblPr>
        <w:tblStyle w:val="8"/>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.5</w:t>
            </w:r>
          </w:p>
        </w:tc>
        <w:tc>
          <w:tcPr>
            <w:tcW w:w="1275"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37</w:t>
            </w:r>
          </w:p>
        </w:tc>
        <w:tc>
          <w:tcPr>
            <w:tcW w:w="993" w:type="dxa"/>
            <w:tcBorders>
              <w:top w:val="single" w:color="auto" w:sz="4" w:space="0"/>
              <w:left w:val="doub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 w:val="20"/>
                <w:szCs w:val="20"/>
                <w:highlight w:val="none"/>
                <w:lang w:val="en-US" w:eastAsia="zh-CN"/>
              </w:rPr>
              <w:t>1104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 w:val="20"/>
                <w:szCs w:val="20"/>
                <w:highlight w:val="none"/>
                <w:lang w:val="en-US" w:eastAsia="zh-CN"/>
              </w:rPr>
              <w:t>1018</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 w:val="20"/>
                <w:szCs w:val="20"/>
                <w:highlight w:val="none"/>
                <w:lang w:val="en-US" w:eastAsia="zh-CN"/>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275"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99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160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152</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1275"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99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278</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18</w:t>
            </w:r>
          </w:p>
        </w:tc>
        <w:tc>
          <w:tcPr>
            <w:tcW w:w="1275"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993"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288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253</w:t>
            </w:r>
          </w:p>
        </w:tc>
        <w:tc>
          <w:tcPr>
            <w:tcW w:w="11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242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37.5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1048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16</w:t>
            </w:r>
            <w:r>
              <w:rPr>
                <w:rFonts w:hint="eastAsia" w:ascii="宋体" w:hAnsi="宋体" w:cs="宋体"/>
                <w:color w:val="auto"/>
                <w:szCs w:val="21"/>
                <w:highlight w:val="none"/>
                <w:lang w:val="en-US" w:eastAsia="zh-CN"/>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=SUM(ABOVE)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100</w:t>
            </w:r>
            <w:r>
              <w:rPr>
                <w:rFonts w:hint="eastAsia" w:ascii="宋体" w:hAnsi="宋体" w:cs="宋体"/>
                <w:color w:val="auto"/>
                <w:szCs w:val="21"/>
                <w:highlight w:val="none"/>
              </w:rPr>
              <w:fldChar w:fldCharType="end"/>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3224</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1943</w:t>
            </w: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1281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60：40</w:t>
            </w:r>
          </w:p>
        </w:tc>
      </w:tr>
    </w:tbl>
    <w:p>
      <w:pPr>
        <w:rPr>
          <w:rFonts w:ascii="Times New Roman" w:hAnsi="Times New Roman"/>
          <w:color w:val="auto"/>
          <w:highlight w:val="none"/>
        </w:rPr>
      </w:pPr>
    </w:p>
    <w:p>
      <w:pPr>
        <w:numPr>
          <w:ilvl w:val="0"/>
          <w:numId w:val="4"/>
        </w:numPr>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br w:type="page"/>
      </w:r>
      <w:r>
        <w:rPr>
          <w:rFonts w:ascii="Times New Roman" w:hAnsi="Times New Roman" w:eastAsia="黑体"/>
          <w:b/>
          <w:color w:val="auto"/>
          <w:szCs w:val="21"/>
          <w:highlight w:val="none"/>
        </w:rPr>
        <w:t>教学安排一览表（1）</w:t>
      </w:r>
    </w:p>
    <w:tbl>
      <w:tblPr>
        <w:tblStyle w:val="8"/>
        <w:tblW w:w="8309" w:type="dxa"/>
        <w:jc w:val="center"/>
        <w:tblLayout w:type="fixed"/>
        <w:tblCellMar>
          <w:top w:w="0" w:type="dxa"/>
          <w:left w:w="0" w:type="dxa"/>
          <w:bottom w:w="0" w:type="dxa"/>
          <w:right w:w="0" w:type="dxa"/>
        </w:tblCellMar>
      </w:tblPr>
      <w:tblGrid>
        <w:gridCol w:w="303"/>
        <w:gridCol w:w="423"/>
        <w:gridCol w:w="545"/>
        <w:gridCol w:w="985"/>
        <w:gridCol w:w="2616"/>
        <w:gridCol w:w="391"/>
        <w:gridCol w:w="540"/>
        <w:gridCol w:w="526"/>
        <w:gridCol w:w="569"/>
        <w:gridCol w:w="434"/>
        <w:gridCol w:w="977"/>
      </w:tblGrid>
      <w:tr>
        <w:tblPrEx>
          <w:tblCellMar>
            <w:top w:w="0" w:type="dxa"/>
            <w:left w:w="0" w:type="dxa"/>
            <w:bottom w:w="0" w:type="dxa"/>
            <w:right w:w="0" w:type="dxa"/>
          </w:tblCellMar>
        </w:tblPrEx>
        <w:trPr>
          <w:trHeight w:val="1047" w:hRule="atLeast"/>
          <w:tblHeader/>
          <w:jc w:val="center"/>
        </w:trPr>
        <w:tc>
          <w:tcPr>
            <w:tcW w:w="3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54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61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34"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83"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公</w:t>
            </w:r>
          </w:p>
          <w:p>
            <w:pPr>
              <w:spacing w:line="240" w:lineRule="exact"/>
              <w:jc w:val="center"/>
              <w:rPr>
                <w:rFonts w:hint="eastAsia" w:ascii="宋体" w:hAnsi="宋体" w:cs="宋体"/>
                <w:b/>
                <w:color w:val="auto"/>
                <w:sz w:val="20"/>
                <w:szCs w:val="20"/>
                <w:highlight w:val="none"/>
              </w:rPr>
            </w:pPr>
          </w:p>
          <w:p>
            <w:pPr>
              <w:spacing w:line="240" w:lineRule="exact"/>
              <w:jc w:val="center"/>
              <w:rPr>
                <w:rFonts w:hint="eastAsia" w:ascii="宋体" w:hAnsi="宋体" w:cs="宋体"/>
                <w:b/>
                <w:color w:val="auto"/>
                <w:sz w:val="20"/>
                <w:szCs w:val="20"/>
                <w:highlight w:val="none"/>
              </w:rPr>
            </w:pP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共</w:t>
            </w:r>
          </w:p>
          <w:p>
            <w:pPr>
              <w:spacing w:line="240" w:lineRule="exact"/>
              <w:jc w:val="center"/>
              <w:rPr>
                <w:rFonts w:hint="eastAsia" w:ascii="宋体" w:hAnsi="宋体" w:cs="宋体"/>
                <w:b/>
                <w:color w:val="auto"/>
                <w:sz w:val="20"/>
                <w:szCs w:val="20"/>
                <w:highlight w:val="none"/>
              </w:rPr>
            </w:pPr>
          </w:p>
          <w:p>
            <w:pPr>
              <w:spacing w:line="240" w:lineRule="exact"/>
              <w:jc w:val="center"/>
              <w:rPr>
                <w:rFonts w:hint="eastAsia" w:ascii="宋体" w:hAnsi="宋体" w:cs="宋体"/>
                <w:b/>
                <w:color w:val="auto"/>
                <w:sz w:val="20"/>
                <w:szCs w:val="20"/>
                <w:highlight w:val="none"/>
              </w:rPr>
            </w:pP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spacing w:line="240" w:lineRule="exact"/>
              <w:jc w:val="center"/>
              <w:rPr>
                <w:rFonts w:hint="eastAsia" w:ascii="宋体" w:hAnsi="宋体" w:cs="宋体"/>
                <w:b/>
                <w:color w:val="auto"/>
                <w:sz w:val="20"/>
                <w:szCs w:val="20"/>
                <w:highlight w:val="none"/>
              </w:rPr>
            </w:pPr>
          </w:p>
          <w:p>
            <w:pPr>
              <w:spacing w:line="240" w:lineRule="exact"/>
              <w:jc w:val="center"/>
              <w:rPr>
                <w:rFonts w:hint="eastAsia" w:ascii="宋体" w:hAnsi="宋体" w:cs="宋体"/>
                <w:b/>
                <w:color w:val="auto"/>
                <w:sz w:val="20"/>
                <w:szCs w:val="20"/>
                <w:highlight w:val="none"/>
              </w:rPr>
            </w:pP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spacing w:line="240" w:lineRule="exact"/>
              <w:jc w:val="center"/>
              <w:rPr>
                <w:rFonts w:hint="eastAsia" w:ascii="宋体" w:hAnsi="宋体" w:cs="宋体"/>
                <w:b/>
                <w:color w:val="auto"/>
                <w:sz w:val="20"/>
                <w:szCs w:val="20"/>
                <w:highlight w:val="none"/>
              </w:rPr>
            </w:pPr>
          </w:p>
          <w:p>
            <w:pPr>
              <w:spacing w:line="240" w:lineRule="exact"/>
              <w:jc w:val="center"/>
              <w:rPr>
                <w:rFonts w:hint="eastAsia" w:ascii="宋体" w:hAnsi="宋体" w:cs="宋体"/>
                <w:b/>
                <w:color w:val="auto"/>
                <w:sz w:val="20"/>
                <w:szCs w:val="20"/>
                <w:highlight w:val="none"/>
              </w:rPr>
            </w:pPr>
          </w:p>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spacing w:line="240" w:lineRule="exact"/>
              <w:jc w:val="center"/>
              <w:rPr>
                <w:rFonts w:ascii="宋体" w:hAnsi="宋体" w:cs="宋体"/>
                <w:b/>
                <w:color w:val="auto"/>
                <w:sz w:val="20"/>
                <w:szCs w:val="20"/>
                <w:highlight w:val="none"/>
              </w:rPr>
            </w:pPr>
          </w:p>
          <w:p>
            <w:pPr>
              <w:spacing w:line="240" w:lineRule="exact"/>
              <w:jc w:val="center"/>
              <w:rPr>
                <w:rFonts w:ascii="宋体" w:hAnsi="宋体" w:cs="宋体"/>
                <w:b/>
                <w:color w:val="auto"/>
                <w:sz w:val="20"/>
                <w:szCs w:val="20"/>
                <w:highlight w:val="none"/>
              </w:rPr>
            </w:pPr>
          </w:p>
          <w:p>
            <w:pPr>
              <w:spacing w:line="240" w:lineRule="exact"/>
              <w:jc w:val="center"/>
              <w:rPr>
                <w:rFonts w:ascii="宋体" w:hAnsi="宋体" w:cs="宋体"/>
                <w:b/>
                <w:color w:val="auto"/>
                <w:sz w:val="20"/>
                <w:szCs w:val="20"/>
                <w:highlight w:val="none"/>
              </w:rPr>
            </w:pPr>
          </w:p>
          <w:p>
            <w:pPr>
              <w:spacing w:line="240" w:lineRule="exact"/>
              <w:jc w:val="center"/>
              <w:rPr>
                <w:rFonts w:ascii="宋体" w:hAnsi="宋体" w:cs="宋体"/>
                <w:b/>
                <w:color w:val="auto"/>
                <w:sz w:val="20"/>
                <w:szCs w:val="20"/>
                <w:highlight w:val="none"/>
              </w:rPr>
            </w:pPr>
          </w:p>
          <w:p>
            <w:pPr>
              <w:spacing w:line="240" w:lineRule="exact"/>
              <w:jc w:val="center"/>
              <w:rPr>
                <w:rFonts w:ascii="宋体" w:hAnsi="宋体" w:cs="宋体"/>
                <w:b/>
                <w:color w:val="auto"/>
                <w:sz w:val="20"/>
                <w:szCs w:val="20"/>
                <w:highlight w:val="none"/>
              </w:rPr>
            </w:pPr>
          </w:p>
          <w:p>
            <w:pPr>
              <w:spacing w:line="240" w:lineRule="exact"/>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b1080006</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p>
            <w:pPr>
              <w:jc w:val="center"/>
              <w:rPr>
                <w:rFonts w:ascii="宋体" w:hAnsi="宋体" w:cs="宋体"/>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b1080001</w:t>
            </w:r>
          </w:p>
        </w:tc>
        <w:tc>
          <w:tcPr>
            <w:tcW w:w="261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b1080009</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515"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b1080010</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500"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b1080011</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秋1～春2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b1080008</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b1110004</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b1020080+</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b1020081+</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b1020012</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b1020013</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b1020023</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复变函数与积分变换</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b1020076</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计算方法</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b1020062</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b1020065</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b1020111</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大学物理C</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资环</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b1013001</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大学化学</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b1020018</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 xml:space="preserve">大学语文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98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b1110003</w:t>
            </w:r>
          </w:p>
        </w:tc>
        <w:tc>
          <w:tcPr>
            <w:tcW w:w="2616"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b1110002</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 xml:space="preserve">军事理论 </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体育</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体育I～VI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秋1～秋4</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54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英语模块</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b1020003</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restart"/>
            <w:tcBorders>
              <w:left w:val="nil"/>
              <w:right w:val="single" w:color="auto" w:sz="4" w:space="0"/>
            </w:tcBorders>
            <w:shd w:val="clear" w:color="auto" w:fill="auto"/>
            <w:textDirection w:val="tbLrV"/>
            <w:vAlign w:val="center"/>
          </w:tcPr>
          <w:p>
            <w:pPr>
              <w:adjustRightInd w:val="0"/>
              <w:snapToGrid w:val="0"/>
              <w:ind w:right="113"/>
              <w:rPr>
                <w:rFonts w:ascii="宋体" w:hAnsi="宋体" w:cs="宋体"/>
                <w:color w:val="auto"/>
                <w:sz w:val="20"/>
                <w:szCs w:val="20"/>
                <w:highlight w:val="none"/>
              </w:rPr>
            </w:pPr>
            <w:r>
              <w:rPr>
                <w:rFonts w:hint="eastAsia" w:ascii="宋体" w:hAnsi="宋体" w:cs="宋体"/>
                <w:color w:val="auto"/>
                <w:sz w:val="20"/>
                <w:szCs w:val="20"/>
                <w:highlight w:val="none"/>
              </w:rPr>
              <w:t>外 语 模 块 （二 选 一）</w:t>
            </w:r>
          </w:p>
        </w:tc>
        <w:tc>
          <w:tcPr>
            <w:tcW w:w="545"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b1020004</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b1020005</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德语模块</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b1020090</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大学德语1  German 1</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b1020061</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rPr>
              <w:t>德语1训练课</w:t>
            </w:r>
          </w:p>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Training of German 1</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b1020091</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大学德语2  German2</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b1020067</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德语2训练课</w:t>
            </w:r>
          </w:p>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Training of German 2</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b1020092</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大学德语3  German3</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b1020031</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德语3训练课</w:t>
            </w:r>
          </w:p>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Training of German 3</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b1020093</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大学德语4  German 4</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55" w:hRule="exact"/>
          <w:jc w:val="center"/>
        </w:trPr>
        <w:tc>
          <w:tcPr>
            <w:tcW w:w="303" w:type="dxa"/>
            <w:vMerge w:val="continue"/>
            <w:tcBorders>
              <w:left w:val="single" w:color="auto" w:sz="4" w:space="0"/>
              <w:bottom w:val="nil"/>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45" w:type="dxa"/>
            <w:vMerge w:val="continue"/>
            <w:tcBorders>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b1020033</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德语4训练课</w:t>
            </w:r>
          </w:p>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Training of German 4</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397"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c>
          <w:tcPr>
            <w:tcW w:w="54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c>
          <w:tcPr>
            <w:tcW w:w="985" w:type="dxa"/>
            <w:tcBorders>
              <w:top w:val="single" w:color="auto" w:sz="4" w:space="0"/>
              <w:bottom w:val="single" w:color="auto" w:sz="4" w:space="0"/>
            </w:tcBorders>
            <w:shd w:val="clear" w:color="auto" w:fill="D8D8D8" w:themeFill="background1" w:themeFillShade="D9"/>
            <w:vAlign w:val="center"/>
          </w:tcPr>
          <w:p>
            <w:pPr>
              <w:spacing w:line="240" w:lineRule="exact"/>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16" w:type="dxa"/>
            <w:tcBorders>
              <w:top w:val="single" w:color="auto" w:sz="4" w:space="0"/>
              <w:bottom w:val="single" w:color="auto" w:sz="4" w:space="0"/>
              <w:right w:val="single" w:color="auto" w:sz="4" w:space="0"/>
            </w:tcBorders>
            <w:shd w:val="clear" w:color="auto" w:fill="D8D8D8" w:themeFill="background1" w:themeFillShade="D9"/>
            <w:vAlign w:val="center"/>
          </w:tcPr>
          <w:p>
            <w:pPr>
              <w:spacing w:line="240" w:lineRule="exact"/>
              <w:rPr>
                <w:rFonts w:ascii="宋体" w:hAnsi="宋体" w:cs="宋体"/>
                <w:b/>
                <w:color w:val="auto"/>
                <w:sz w:val="20"/>
                <w:szCs w:val="20"/>
                <w:highlight w:val="none"/>
              </w:rPr>
            </w:pPr>
            <w:r>
              <w:rPr>
                <w:rFonts w:hint="eastAsia" w:ascii="宋体" w:hAnsi="宋体" w:cs="宋体"/>
                <w:b/>
                <w:color w:val="auto"/>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lang w:val="en-US" w:eastAsia="zh-CN"/>
              </w:rPr>
              <w:t>60</w:t>
            </w:r>
            <w:r>
              <w:rPr>
                <w:rFonts w:hint="eastAsia" w:ascii="宋体" w:hAnsi="宋体" w:cs="宋体"/>
                <w:b/>
                <w:color w:val="auto"/>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default" w:ascii="宋体" w:hAnsi="宋体" w:cs="宋体"/>
                <w:b/>
                <w:bCs/>
                <w:color w:val="auto"/>
                <w:sz w:val="20"/>
                <w:szCs w:val="20"/>
                <w:highlight w:val="none"/>
                <w:lang w:val="en-US"/>
              </w:rPr>
            </w:pPr>
            <w:r>
              <w:rPr>
                <w:rFonts w:hint="eastAsia" w:ascii="宋体" w:hAnsi="宋体" w:cs="宋体"/>
                <w:b/>
                <w:bCs/>
                <w:color w:val="auto"/>
                <w:sz w:val="20"/>
                <w:szCs w:val="20"/>
                <w:highlight w:val="none"/>
                <w:lang w:val="en-US" w:eastAsia="zh-CN"/>
              </w:rPr>
              <w:t>1104</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default" w:ascii="宋体" w:hAnsi="宋体" w:cs="宋体"/>
                <w:b/>
                <w:bCs/>
                <w:color w:val="auto"/>
                <w:sz w:val="20"/>
                <w:szCs w:val="20"/>
                <w:highlight w:val="none"/>
                <w:lang w:val="en-US"/>
              </w:rPr>
            </w:pPr>
            <w:r>
              <w:rPr>
                <w:rFonts w:hint="eastAsia" w:ascii="宋体" w:hAnsi="宋体" w:cs="宋体"/>
                <w:b/>
                <w:bCs/>
                <w:color w:val="auto"/>
                <w:sz w:val="20"/>
                <w:szCs w:val="20"/>
                <w:highlight w:val="none"/>
                <w:lang w:val="en-US" w:eastAsia="zh-CN"/>
              </w:rPr>
              <w:t>1018</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hint="default" w:ascii="宋体" w:hAnsi="宋体" w:cs="宋体"/>
                <w:b/>
                <w:bCs/>
                <w:color w:val="auto"/>
                <w:sz w:val="20"/>
                <w:szCs w:val="20"/>
                <w:highlight w:val="none"/>
                <w:lang w:val="en-US"/>
              </w:rPr>
            </w:pPr>
            <w:r>
              <w:rPr>
                <w:rFonts w:hint="eastAsia" w:ascii="宋体" w:hAnsi="宋体" w:cs="宋体"/>
                <w:b/>
                <w:bCs/>
                <w:color w:val="auto"/>
                <w:sz w:val="20"/>
                <w:szCs w:val="20"/>
                <w:highlight w:val="none"/>
                <w:lang w:val="en-US" w:eastAsia="zh-CN"/>
              </w:rPr>
              <w:t>86</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97" w:hRule="exact"/>
          <w:jc w:val="center"/>
        </w:trPr>
        <w:tc>
          <w:tcPr>
            <w:tcW w:w="303" w:type="dxa"/>
            <w:vMerge w:val="restart"/>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通识课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选</w:t>
            </w:r>
          </w:p>
        </w:tc>
        <w:tc>
          <w:tcPr>
            <w:tcW w:w="5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计信</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b1012001</w:t>
            </w:r>
          </w:p>
        </w:tc>
        <w:tc>
          <w:tcPr>
            <w:tcW w:w="2616"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人工智能应用与实践</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秋1</w:t>
            </w:r>
          </w:p>
        </w:tc>
      </w:tr>
      <w:tr>
        <w:tblPrEx>
          <w:tblCellMar>
            <w:top w:w="0" w:type="dxa"/>
            <w:left w:w="0" w:type="dxa"/>
            <w:bottom w:w="0" w:type="dxa"/>
            <w:right w:w="0" w:type="dxa"/>
          </w:tblCellMar>
        </w:tblPrEx>
        <w:trPr>
          <w:trHeight w:val="316"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宋体" w:hAnsi="宋体" w:eastAsia="宋体" w:cs="Times New Roman"/>
                <w:color w:val="auto"/>
                <w:kern w:val="2"/>
                <w:sz w:val="20"/>
                <w:szCs w:val="20"/>
                <w:highlight w:val="none"/>
                <w:lang w:val="en-US" w:eastAsia="zh-CN" w:bidi="ar-SA"/>
              </w:rPr>
            </w:pPr>
            <w:r>
              <w:rPr>
                <w:rFonts w:hint="eastAsia" w:ascii="宋体" w:hAnsi="宋体" w:cs="Times New Roman"/>
                <w:color w:val="auto"/>
                <w:kern w:val="2"/>
                <w:sz w:val="20"/>
                <w:szCs w:val="20"/>
                <w:highlight w:val="none"/>
                <w:lang w:val="en-US" w:eastAsia="zh-CN" w:bidi="ar-SA"/>
              </w:rPr>
              <w:t>选</w:t>
            </w:r>
          </w:p>
        </w:tc>
        <w:tc>
          <w:tcPr>
            <w:tcW w:w="5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资环</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b1013002</w:t>
            </w:r>
          </w:p>
        </w:tc>
        <w:tc>
          <w:tcPr>
            <w:tcW w:w="2616"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绿色低碳与生态文明</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春1</w:t>
            </w:r>
          </w:p>
        </w:tc>
      </w:tr>
      <w:tr>
        <w:tblPrEx>
          <w:tblCellMar>
            <w:top w:w="0" w:type="dxa"/>
            <w:left w:w="0" w:type="dxa"/>
            <w:bottom w:w="0" w:type="dxa"/>
            <w:right w:w="0" w:type="dxa"/>
          </w:tblCellMar>
        </w:tblPrEx>
        <w:trPr>
          <w:trHeight w:val="591"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tc>
        <w:tc>
          <w:tcPr>
            <w:tcW w:w="54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艺术</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中心</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b0---</w:t>
            </w:r>
          </w:p>
        </w:tc>
        <w:tc>
          <w:tcPr>
            <w:tcW w:w="261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tblCellMar>
            <w:top w:w="0" w:type="dxa"/>
            <w:left w:w="0" w:type="dxa"/>
            <w:bottom w:w="0" w:type="dxa"/>
            <w:right w:w="0" w:type="dxa"/>
          </w:tblCellMar>
        </w:tblPrEx>
        <w:trPr>
          <w:trHeight w:val="309" w:hRule="exac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tc>
        <w:tc>
          <w:tcPr>
            <w:tcW w:w="545"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cs="宋体"/>
                <w:color w:val="auto"/>
                <w:sz w:val="20"/>
                <w:szCs w:val="20"/>
                <w:highlight w:val="none"/>
              </w:rPr>
            </w:pPr>
            <w:r>
              <w:rPr>
                <w:rFonts w:hint="eastAsia" w:ascii="宋体" w:hAnsi="宋体" w:cs="宋体"/>
                <w:color w:val="auto"/>
                <w:sz w:val="20"/>
                <w:szCs w:val="20"/>
                <w:highlight w:val="none"/>
              </w:rPr>
              <w:t>各</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学院</w:t>
            </w:r>
          </w:p>
        </w:tc>
        <w:tc>
          <w:tcPr>
            <w:tcW w:w="985"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b0---</w:t>
            </w:r>
          </w:p>
        </w:tc>
        <w:tc>
          <w:tcPr>
            <w:tcW w:w="261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tblCellMar>
            <w:top w:w="0" w:type="dxa"/>
            <w:left w:w="0" w:type="dxa"/>
            <w:bottom w:w="0" w:type="dxa"/>
            <w:right w:w="0" w:type="dxa"/>
          </w:tblCellMar>
        </w:tblPrEx>
        <w:trPr>
          <w:trHeight w:val="319"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
                <w:color w:val="auto"/>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545" w:type="dxa"/>
            <w:vMerge w:val="continue"/>
            <w:tcBorders>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98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261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tblCellMar>
            <w:top w:w="0" w:type="dxa"/>
            <w:left w:w="0" w:type="dxa"/>
            <w:bottom w:w="0" w:type="dxa"/>
            <w:right w:w="0" w:type="dxa"/>
          </w:tblCellMar>
        </w:tblPrEx>
        <w:trPr>
          <w:trHeight w:val="397"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cs="宋体"/>
                <w:b/>
                <w:color w:val="auto"/>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cs="宋体"/>
                <w:b/>
                <w:color w:val="auto"/>
                <w:sz w:val="20"/>
                <w:szCs w:val="20"/>
                <w:highlight w:val="none"/>
              </w:rPr>
            </w:pPr>
          </w:p>
        </w:tc>
        <w:tc>
          <w:tcPr>
            <w:tcW w:w="545" w:type="dxa"/>
            <w:tcBorders>
              <w:top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cs="宋体"/>
                <w:b/>
                <w:color w:val="auto"/>
                <w:sz w:val="20"/>
                <w:szCs w:val="20"/>
                <w:highlight w:val="none"/>
              </w:rPr>
            </w:pPr>
          </w:p>
        </w:tc>
        <w:tc>
          <w:tcPr>
            <w:tcW w:w="985" w:type="dxa"/>
            <w:tcBorders>
              <w:top w:val="single" w:color="auto" w:sz="4" w:space="0"/>
              <w:bottom w:val="single" w:color="auto" w:sz="4" w:space="0"/>
            </w:tcBorders>
            <w:shd w:val="clear" w:color="auto" w:fill="D8D8D8" w:themeFill="background1" w:themeFillShade="D9"/>
            <w:vAlign w:val="center"/>
          </w:tcPr>
          <w:p>
            <w:pPr>
              <w:spacing w:line="240" w:lineRule="exact"/>
              <w:jc w:val="right"/>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616" w:type="dxa"/>
            <w:tcBorders>
              <w:top w:val="single" w:color="auto" w:sz="4" w:space="0"/>
              <w:bottom w:val="single" w:color="auto" w:sz="4" w:space="0"/>
              <w:right w:val="single" w:color="auto" w:sz="4" w:space="0"/>
            </w:tcBorders>
            <w:shd w:val="clear" w:color="auto" w:fill="D8D8D8" w:themeFill="background1" w:themeFillShade="D9"/>
            <w:vAlign w:val="center"/>
          </w:tcPr>
          <w:p>
            <w:pPr>
              <w:spacing w:line="240" w:lineRule="exact"/>
              <w:rPr>
                <w:rFonts w:ascii="宋体" w:hAnsi="宋体" w:cs="宋体"/>
                <w:b/>
                <w:color w:val="auto"/>
                <w:sz w:val="20"/>
                <w:szCs w:val="20"/>
                <w:highlight w:val="none"/>
              </w:rPr>
            </w:pPr>
            <w:r>
              <w:rPr>
                <w:rFonts w:hint="eastAsia" w:ascii="宋体" w:hAnsi="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color w:val="auto"/>
                <w:sz w:val="20"/>
                <w:szCs w:val="20"/>
                <w:highlight w:val="none"/>
              </w:rPr>
            </w:pPr>
            <w:r>
              <w:rPr>
                <w:rFonts w:hint="eastAsia" w:ascii="宋体" w:hAnsi="宋体" w:cs="宋体"/>
                <w:b/>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hint="default" w:ascii="宋体" w:hAnsi="宋体" w:eastAsia="宋体" w:cs="宋体"/>
                <w:b/>
                <w:color w:val="auto"/>
                <w:sz w:val="20"/>
                <w:szCs w:val="20"/>
                <w:highlight w:val="none"/>
                <w:lang w:val="en-US" w:eastAsia="zh-CN"/>
              </w:rPr>
            </w:pPr>
            <w:r>
              <w:rPr>
                <w:rFonts w:hint="eastAsia" w:ascii="宋体" w:hAnsi="宋体" w:cs="宋体"/>
                <w:b/>
                <w:color w:val="auto"/>
                <w:sz w:val="20"/>
                <w:szCs w:val="20"/>
                <w:highlight w:val="none"/>
                <w:lang w:val="en-US" w:eastAsia="zh-CN"/>
              </w:rPr>
              <w:t>152</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hint="eastAsia" w:ascii="宋体" w:hAnsi="宋体" w:eastAsia="宋体" w:cs="宋体"/>
                <w:color w:val="auto"/>
                <w:sz w:val="20"/>
                <w:szCs w:val="20"/>
                <w:highlight w:val="none"/>
                <w:lang w:eastAsia="zh-CN"/>
              </w:rPr>
            </w:pPr>
            <w:r>
              <w:rPr>
                <w:rFonts w:hint="eastAsia" w:ascii="宋体" w:hAnsi="宋体" w:cs="宋体"/>
                <w:b/>
                <w:color w:val="auto"/>
                <w:sz w:val="20"/>
                <w:szCs w:val="20"/>
                <w:highlight w:val="none"/>
                <w:lang w:val="en-US" w:eastAsia="zh-CN"/>
              </w:rPr>
              <w:t>8</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九，教学安排一览表（2）</w:t>
      </w:r>
    </w:p>
    <w:tbl>
      <w:tblPr>
        <w:tblStyle w:val="8"/>
        <w:tblW w:w="7933" w:type="dxa"/>
        <w:jc w:val="center"/>
        <w:tblLayout w:type="fixed"/>
        <w:tblCellMar>
          <w:top w:w="0" w:type="dxa"/>
          <w:left w:w="0" w:type="dxa"/>
          <w:bottom w:w="0" w:type="dxa"/>
          <w:right w:w="0" w:type="dxa"/>
        </w:tblCellMar>
      </w:tblPr>
      <w:tblGrid>
        <w:gridCol w:w="301"/>
        <w:gridCol w:w="425"/>
        <w:gridCol w:w="425"/>
        <w:gridCol w:w="1112"/>
        <w:gridCol w:w="2727"/>
        <w:gridCol w:w="366"/>
        <w:gridCol w:w="504"/>
        <w:gridCol w:w="491"/>
        <w:gridCol w:w="532"/>
        <w:gridCol w:w="406"/>
        <w:gridCol w:w="644"/>
      </w:tblGrid>
      <w:tr>
        <w:tblPrEx>
          <w:tblCellMar>
            <w:top w:w="0" w:type="dxa"/>
            <w:left w:w="0" w:type="dxa"/>
            <w:bottom w:w="0" w:type="dxa"/>
            <w:right w:w="0" w:type="dxa"/>
          </w:tblCellMar>
        </w:tblPrEx>
        <w:trPr>
          <w:trHeight w:val="861" w:hRule="atLeast"/>
          <w:jc w:val="center"/>
        </w:trPr>
        <w:tc>
          <w:tcPr>
            <w:tcW w:w="3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11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7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1"/>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6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49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0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64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工程基础课</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二</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一</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普通班</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b2011137jx </w:t>
            </w:r>
          </w:p>
        </w:tc>
        <w:tc>
          <w:tcPr>
            <w:tcW w:w="27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现代工程制图I</w:t>
            </w:r>
          </w:p>
        </w:tc>
        <w:tc>
          <w:tcPr>
            <w:tcW w:w="3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4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b2011138jx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现代工程制图II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vMerge w:val="restart"/>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中本贯通</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b2011246</w:t>
            </w:r>
          </w:p>
        </w:tc>
        <w:tc>
          <w:tcPr>
            <w:tcW w:w="2727" w:type="dxa"/>
            <w:tcBorders>
              <w:top w:val="nil"/>
              <w:left w:val="nil"/>
              <w:bottom w:val="single" w:color="auto" w:sz="4" w:space="0"/>
              <w:right w:val="single" w:color="auto" w:sz="4" w:space="0"/>
            </w:tcBorders>
            <w:shd w:val="clear" w:color="auto" w:fill="auto"/>
            <w:vAlign w:val="center"/>
          </w:tcPr>
          <w:p>
            <w:pPr>
              <w:tabs>
                <w:tab w:val="left" w:pos="5718"/>
              </w:tabs>
              <w:rPr>
                <w:rFonts w:ascii="宋体" w:hAnsi="宋体" w:cs="宋体"/>
                <w:color w:val="auto"/>
                <w:sz w:val="20"/>
                <w:szCs w:val="20"/>
                <w:highlight w:val="none"/>
              </w:rPr>
            </w:pPr>
            <w:r>
              <w:rPr>
                <w:rFonts w:hint="eastAsia" w:ascii="宋体" w:hAnsi="宋体" w:cs="宋体"/>
                <w:bCs/>
                <w:color w:val="auto"/>
                <w:sz w:val="20"/>
                <w:szCs w:val="20"/>
                <w:highlight w:val="none"/>
              </w:rPr>
              <w:t>现代工程制图</w:t>
            </w:r>
          </w:p>
        </w:tc>
        <w:tc>
          <w:tcPr>
            <w:tcW w:w="366"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sz w:val="20"/>
                <w:szCs w:val="20"/>
                <w:highlight w:val="none"/>
                <w:lang w:val="en-US" w:eastAsia="zh-CN"/>
              </w:rPr>
              <w:t>44</w:t>
            </w:r>
          </w:p>
        </w:tc>
        <w:tc>
          <w:tcPr>
            <w:tcW w:w="406" w:type="dxa"/>
            <w:tcBorders>
              <w:top w:val="nil"/>
              <w:left w:val="nil"/>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20</w:t>
            </w:r>
            <w:bookmarkStart w:id="0" w:name="_GoBack"/>
            <w:bookmarkEnd w:id="0"/>
          </w:p>
        </w:tc>
        <w:tc>
          <w:tcPr>
            <w:tcW w:w="64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32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tcPr>
          <w:p>
            <w:pPr>
              <w:jc w:val="center"/>
              <w:rPr>
                <w:rFonts w:ascii="宋体" w:hAnsi="宋体" w:cs="宋体"/>
                <w:color w:val="auto"/>
                <w:sz w:val="20"/>
                <w:szCs w:val="20"/>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b2011311</w:t>
            </w:r>
          </w:p>
        </w:tc>
        <w:tc>
          <w:tcPr>
            <w:tcW w:w="2727" w:type="dxa"/>
            <w:tcBorders>
              <w:top w:val="nil"/>
              <w:left w:val="nil"/>
              <w:bottom w:val="single" w:color="auto" w:sz="4" w:space="0"/>
              <w:right w:val="single" w:color="auto" w:sz="4" w:space="0"/>
            </w:tcBorders>
            <w:shd w:val="clear" w:color="auto" w:fill="auto"/>
            <w:vAlign w:val="center"/>
          </w:tcPr>
          <w:p>
            <w:pPr>
              <w:tabs>
                <w:tab w:val="left" w:pos="5718"/>
              </w:tabs>
              <w:rPr>
                <w:rFonts w:ascii="宋体" w:hAnsi="宋体" w:cs="宋体"/>
                <w:color w:val="auto"/>
                <w:sz w:val="20"/>
                <w:szCs w:val="20"/>
                <w:highlight w:val="none"/>
              </w:rPr>
            </w:pPr>
            <w:r>
              <w:rPr>
                <w:rFonts w:hint="eastAsia" w:ascii="宋体" w:hAnsi="宋体" w:cs="宋体"/>
                <w:color w:val="auto"/>
                <w:sz w:val="20"/>
                <w:szCs w:val="20"/>
                <w:highlight w:val="none"/>
              </w:rPr>
              <w:t>数控系统与原理</w:t>
            </w:r>
          </w:p>
        </w:tc>
        <w:tc>
          <w:tcPr>
            <w:tcW w:w="366"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b2011397jx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工程材料基础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b2011049jx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工程力学I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b2011050jx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工程力学II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b2090001jx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电工与电子学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b2011901jx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热工与流体力学基础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98"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cs="宋体"/>
                <w:b/>
                <w:bCs/>
                <w:color w:val="auto"/>
                <w:sz w:val="20"/>
                <w:szCs w:val="20"/>
                <w:highlight w:val="none"/>
              </w:rPr>
            </w:pPr>
            <w:r>
              <w:rPr>
                <w:rFonts w:hint="eastAsia" w:ascii="宋体" w:hAnsi="宋体" w:cs="宋体"/>
                <w:color w:val="auto"/>
                <w:sz w:val="20"/>
                <w:szCs w:val="20"/>
                <w:highlight w:val="none"/>
              </w:rPr>
              <w:t xml:space="preserve">               </w:t>
            </w:r>
            <w:r>
              <w:rPr>
                <w:rFonts w:hint="eastAsia" w:ascii="宋体" w:hAnsi="宋体" w:cs="宋体"/>
                <w:b/>
                <w:bCs/>
                <w:color w:val="auto"/>
                <w:sz w:val="20"/>
                <w:szCs w:val="20"/>
                <w:highlight w:val="none"/>
              </w:rPr>
              <w:t>小   计（工程基础课）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320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278</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42</w:t>
            </w:r>
          </w:p>
        </w:tc>
        <w:tc>
          <w:tcPr>
            <w:tcW w:w="64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专业基础课</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b2011188jx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工程导论</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二</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一</w:t>
            </w:r>
          </w:p>
        </w:tc>
        <w:tc>
          <w:tcPr>
            <w:tcW w:w="425"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普通班</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b2011079jx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机械原理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b2011080jx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机械制造基础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b2011902jx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机械制造工艺</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322"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vMerge w:val="restart"/>
            <w:tcBorders>
              <w:top w:val="single" w:color="auto" w:sz="4" w:space="0"/>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中本贯通</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b2011310</w:t>
            </w:r>
          </w:p>
        </w:tc>
        <w:tc>
          <w:tcPr>
            <w:tcW w:w="2727" w:type="dxa"/>
            <w:tcBorders>
              <w:top w:val="nil"/>
              <w:left w:val="nil"/>
              <w:bottom w:val="single" w:color="auto" w:sz="4" w:space="0"/>
              <w:right w:val="single" w:color="auto" w:sz="4" w:space="0"/>
            </w:tcBorders>
            <w:shd w:val="clear" w:color="auto" w:fill="auto"/>
            <w:vAlign w:val="center"/>
          </w:tcPr>
          <w:p>
            <w:pPr>
              <w:tabs>
                <w:tab w:val="left" w:pos="5718"/>
              </w:tabs>
              <w:rPr>
                <w:rFonts w:ascii="宋体" w:hAnsi="宋体" w:cs="宋体"/>
                <w:bCs/>
                <w:color w:val="auto"/>
                <w:sz w:val="20"/>
                <w:szCs w:val="20"/>
                <w:highlight w:val="none"/>
              </w:rPr>
            </w:pPr>
            <w:r>
              <w:rPr>
                <w:rFonts w:hint="eastAsia" w:ascii="宋体" w:hAnsi="宋体" w:cs="宋体"/>
                <w:bCs/>
                <w:color w:val="auto"/>
                <w:sz w:val="20"/>
                <w:szCs w:val="20"/>
                <w:highlight w:val="none"/>
              </w:rPr>
              <w:t>机械原理及机构创新设计</w:t>
            </w:r>
          </w:p>
        </w:tc>
        <w:tc>
          <w:tcPr>
            <w:tcW w:w="366"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54</w:t>
            </w:r>
          </w:p>
        </w:tc>
        <w:tc>
          <w:tcPr>
            <w:tcW w:w="406" w:type="dxa"/>
            <w:tcBorders>
              <w:top w:val="nil"/>
              <w:left w:val="nil"/>
              <w:bottom w:val="single" w:color="auto" w:sz="4" w:space="0"/>
              <w:right w:val="single" w:color="auto" w:sz="4" w:space="0"/>
            </w:tcBorders>
            <w:shd w:val="clear" w:color="auto" w:fill="auto"/>
            <w:vAlign w:val="center"/>
          </w:tcPr>
          <w:p>
            <w:pPr>
              <w:tabs>
                <w:tab w:val="left" w:pos="5718"/>
              </w:tabs>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64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31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vMerge w:val="continue"/>
            <w:tcBorders>
              <w:left w:val="nil"/>
              <w:right w:val="single" w:color="auto" w:sz="4" w:space="0"/>
            </w:tcBorders>
            <w:shd w:val="clear" w:color="auto" w:fill="auto"/>
          </w:tcPr>
          <w:p>
            <w:pPr>
              <w:jc w:val="center"/>
              <w:rPr>
                <w:rFonts w:ascii="宋体" w:hAnsi="宋体" w:cs="宋体"/>
                <w:color w:val="auto"/>
                <w:sz w:val="20"/>
                <w:szCs w:val="20"/>
                <w:highlight w:val="none"/>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b2011312</w:t>
            </w:r>
          </w:p>
        </w:tc>
        <w:tc>
          <w:tcPr>
            <w:tcW w:w="2727" w:type="dxa"/>
            <w:tcBorders>
              <w:top w:val="nil"/>
              <w:left w:val="nil"/>
              <w:bottom w:val="single" w:color="auto" w:sz="4" w:space="0"/>
              <w:right w:val="single" w:color="auto" w:sz="4" w:space="0"/>
            </w:tcBorders>
            <w:shd w:val="clear" w:color="auto" w:fill="auto"/>
            <w:vAlign w:val="center"/>
          </w:tcPr>
          <w:p>
            <w:pPr>
              <w:tabs>
                <w:tab w:val="left" w:pos="5718"/>
              </w:tabs>
              <w:rPr>
                <w:rFonts w:ascii="宋体" w:hAnsi="宋体" w:cs="宋体"/>
                <w:bCs/>
                <w:color w:val="auto"/>
                <w:sz w:val="20"/>
                <w:szCs w:val="20"/>
                <w:highlight w:val="none"/>
              </w:rPr>
            </w:pPr>
            <w:r>
              <w:rPr>
                <w:rFonts w:hint="eastAsia" w:ascii="宋体" w:hAnsi="宋体" w:cs="宋体"/>
                <w:color w:val="auto"/>
                <w:sz w:val="20"/>
                <w:szCs w:val="20"/>
                <w:highlight w:val="none"/>
              </w:rPr>
              <w:t>机械制造工艺学</w:t>
            </w:r>
          </w:p>
        </w:tc>
        <w:tc>
          <w:tcPr>
            <w:tcW w:w="366" w:type="dxa"/>
            <w:tcBorders>
              <w:top w:val="nil"/>
              <w:left w:val="nil"/>
              <w:bottom w:val="single" w:color="auto" w:sz="4" w:space="0"/>
              <w:right w:val="single" w:color="auto" w:sz="4" w:space="0"/>
            </w:tcBorders>
            <w:shd w:val="clear" w:color="auto" w:fill="auto"/>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491" w:type="dxa"/>
            <w:tcBorders>
              <w:top w:val="nil"/>
              <w:left w:val="nil"/>
              <w:bottom w:val="single" w:color="auto" w:sz="4" w:space="0"/>
              <w:right w:val="single" w:color="auto" w:sz="4" w:space="0"/>
            </w:tcBorders>
            <w:shd w:val="clear" w:color="auto" w:fill="auto"/>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32" w:type="dxa"/>
            <w:tcBorders>
              <w:top w:val="nil"/>
              <w:left w:val="nil"/>
              <w:bottom w:val="single" w:color="auto" w:sz="4" w:space="0"/>
              <w:right w:val="single" w:color="auto" w:sz="4" w:space="0"/>
            </w:tcBorders>
            <w:shd w:val="clear" w:color="auto" w:fill="auto"/>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56</w:t>
            </w:r>
          </w:p>
        </w:tc>
        <w:tc>
          <w:tcPr>
            <w:tcW w:w="406" w:type="dxa"/>
            <w:tcBorders>
              <w:top w:val="nil"/>
              <w:left w:val="nil"/>
              <w:bottom w:val="single" w:color="auto" w:sz="4" w:space="0"/>
              <w:right w:val="single" w:color="auto" w:sz="4" w:space="0"/>
            </w:tcBorders>
            <w:shd w:val="clear" w:color="auto" w:fill="auto"/>
            <w:vAlign w:val="center"/>
          </w:tcPr>
          <w:p>
            <w:pPr>
              <w:tabs>
                <w:tab w:val="left" w:pos="5718"/>
              </w:tabs>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644"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b2011077jx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机械设计</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45</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b2011047jx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工程控制原理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b2011329jx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传感器与智能检测技术</w:t>
            </w:r>
            <w:r>
              <w:rPr>
                <w:color w:val="auto"/>
                <w:highlight w:val="none"/>
              </w:rPr>
              <w:commentReference w:id="0"/>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b2011143jx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73"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18</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288</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253</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35</w:t>
            </w:r>
          </w:p>
        </w:tc>
        <w:tc>
          <w:tcPr>
            <w:tcW w:w="644"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专业课</w:t>
            </w: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b2011520jx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科技论文写作与文献检索</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1</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16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0</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b2011182jx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可编程控制器（PLC）</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b2011903jx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数控机床与编程</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b2011152jx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液压与气压传动</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28</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4</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b2011055jx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工业机器人及应用</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b2011433jx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智能制造生产管理（MES/ERP）</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7"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auto"/>
          </w:tcPr>
          <w:p>
            <w:pPr>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11</w:t>
            </w:r>
          </w:p>
        </w:tc>
        <w:tc>
          <w:tcPr>
            <w:tcW w:w="4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176</w:t>
            </w:r>
          </w:p>
        </w:tc>
        <w:tc>
          <w:tcPr>
            <w:tcW w:w="53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142</w:t>
            </w:r>
          </w:p>
        </w:tc>
        <w:tc>
          <w:tcPr>
            <w:tcW w:w="4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34</w:t>
            </w:r>
          </w:p>
        </w:tc>
        <w:tc>
          <w:tcPr>
            <w:tcW w:w="644" w:type="dxa"/>
            <w:tcBorders>
              <w:top w:val="nil"/>
              <w:left w:val="nil"/>
              <w:bottom w:val="single" w:color="auto" w:sz="4" w:space="0"/>
              <w:right w:val="single" w:color="auto" w:sz="4" w:space="0"/>
            </w:tcBorders>
            <w:shd w:val="clear" w:color="auto" w:fill="auto"/>
          </w:tcPr>
          <w:p>
            <w:pPr>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317"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restart"/>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修</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学</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分</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b2011315jx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程序设计基础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6"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b2011530jx</w:t>
            </w:r>
          </w:p>
        </w:tc>
        <w:tc>
          <w:tcPr>
            <w:tcW w:w="2727"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Python程序设计</w:t>
            </w:r>
            <w:r>
              <w:rPr>
                <w:color w:val="auto"/>
                <w:highlight w:val="none"/>
              </w:rPr>
              <w:commentReference w:id="1"/>
            </w:r>
          </w:p>
        </w:tc>
        <w:tc>
          <w:tcPr>
            <w:tcW w:w="36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4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秋2</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b2011904jx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单片机技术基础</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b2011181jx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机电传动控制</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b2011494jx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智能控制系统</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b2011141jx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现代设计理论与方法</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b2011156jx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有限元分析及实践</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b2011469jx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精密和超精密加工技术</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b2011135jx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先进制造技术</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秋4</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b2011905jx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Style w:val="11"/>
                <w:rFonts w:hint="default" w:cs="宋体"/>
                <w:color w:val="auto"/>
                <w:highlight w:val="none"/>
                <w:lang w:bidi="ar"/>
              </w:rPr>
              <w:t>增材制造技术</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11"/>
                <w:rFonts w:hint="default" w:cs="宋体"/>
                <w:color w:val="auto"/>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 xml:space="preserve">秋4 </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b2011906jx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Style w:val="11"/>
                <w:rFonts w:hint="default" w:cs="宋体"/>
                <w:color w:val="auto"/>
                <w:highlight w:val="none"/>
                <w:lang w:bidi="ar"/>
              </w:rPr>
              <w:t>智能装备故障诊断与分析</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11"/>
                <w:rFonts w:hint="default" w:cs="宋体"/>
                <w:color w:val="auto"/>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11"/>
                <w:rFonts w:hint="default" w:cs="宋体"/>
                <w:color w:val="auto"/>
                <w:highlight w:val="none"/>
                <w:lang w:bidi="ar"/>
              </w:rPr>
              <w:t>秋</w:t>
            </w:r>
            <w:r>
              <w:rPr>
                <w:rFonts w:hint="eastAsia" w:ascii="宋体" w:hAnsi="宋体" w:cs="宋体"/>
                <w:color w:val="auto"/>
                <w:sz w:val="20"/>
                <w:szCs w:val="20"/>
                <w:highlight w:val="none"/>
                <w:lang w:bidi="ar"/>
              </w:rPr>
              <w:t>4</w:t>
            </w:r>
          </w:p>
        </w:tc>
      </w:tr>
      <w:tr>
        <w:tblPrEx>
          <w:tblCellMar>
            <w:top w:w="0" w:type="dxa"/>
            <w:left w:w="0" w:type="dxa"/>
            <w:bottom w:w="0" w:type="dxa"/>
            <w:right w:w="0" w:type="dxa"/>
          </w:tblCellMar>
        </w:tblPrEx>
        <w:trPr>
          <w:trHeight w:val="284"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b2011907jx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Style w:val="11"/>
                <w:rFonts w:hint="default" w:cs="宋体"/>
                <w:color w:val="auto"/>
                <w:highlight w:val="none"/>
                <w:lang w:bidi="ar"/>
              </w:rPr>
              <w:t>人工智能技术及应用</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11"/>
                <w:rFonts w:hint="default" w:cs="宋体"/>
                <w:color w:val="auto"/>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11"/>
                <w:rFonts w:hint="default" w:cs="宋体"/>
                <w:color w:val="auto"/>
                <w:highlight w:val="none"/>
                <w:lang w:bidi="ar"/>
              </w:rPr>
              <w:t>秋</w:t>
            </w:r>
            <w:r>
              <w:rPr>
                <w:rFonts w:hint="eastAsia" w:ascii="宋体" w:hAnsi="宋体" w:cs="宋体"/>
                <w:color w:val="auto"/>
                <w:sz w:val="20"/>
                <w:szCs w:val="20"/>
                <w:highlight w:val="none"/>
                <w:lang w:bidi="ar"/>
              </w:rPr>
              <w:t>4</w:t>
            </w:r>
          </w:p>
        </w:tc>
      </w:tr>
      <w:tr>
        <w:tblPrEx>
          <w:tblCellMar>
            <w:top w:w="0" w:type="dxa"/>
            <w:left w:w="0" w:type="dxa"/>
            <w:bottom w:w="0" w:type="dxa"/>
            <w:right w:w="0" w:type="dxa"/>
          </w:tblCellMar>
        </w:tblPrEx>
        <w:trPr>
          <w:trHeight w:val="292" w:hRule="exact"/>
          <w:jc w:val="center"/>
        </w:trPr>
        <w:tc>
          <w:tcPr>
            <w:tcW w:w="3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8</w:t>
            </w:r>
          </w:p>
        </w:tc>
        <w:tc>
          <w:tcPr>
            <w:tcW w:w="49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128</w:t>
            </w:r>
          </w:p>
        </w:tc>
        <w:tc>
          <w:tcPr>
            <w:tcW w:w="53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100</w:t>
            </w:r>
          </w:p>
        </w:tc>
        <w:tc>
          <w:tcPr>
            <w:tcW w:w="40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28</w:t>
            </w:r>
          </w:p>
        </w:tc>
        <w:tc>
          <w:tcPr>
            <w:tcW w:w="644" w:type="dxa"/>
            <w:tcBorders>
              <w:top w:val="nil"/>
              <w:left w:val="nil"/>
              <w:bottom w:val="single" w:color="auto" w:sz="4" w:space="0"/>
              <w:right w:val="single" w:color="auto" w:sz="4" w:space="0"/>
            </w:tcBorders>
            <w:shd w:val="clear" w:color="auto" w:fill="auto"/>
          </w:tcPr>
          <w:p>
            <w:pPr>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320"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小      计（专业课）</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19</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304</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242</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62</w:t>
            </w:r>
          </w:p>
        </w:tc>
        <w:tc>
          <w:tcPr>
            <w:tcW w:w="64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cs="宋体"/>
                <w:b/>
                <w:color w:val="auto"/>
                <w:sz w:val="20"/>
                <w:szCs w:val="20"/>
                <w:highlight w:val="none"/>
              </w:rPr>
            </w:pPr>
          </w:p>
        </w:tc>
      </w:tr>
    </w:tbl>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九，教学安排一览表（3）</w:t>
      </w:r>
    </w:p>
    <w:tbl>
      <w:tblPr>
        <w:tblStyle w:val="8"/>
        <w:tblW w:w="8075" w:type="dxa"/>
        <w:jc w:val="right"/>
        <w:shd w:val="clear" w:color="auto" w:fill="FFFFFF"/>
        <w:tblLayout w:type="fixed"/>
        <w:tblCellMar>
          <w:top w:w="0" w:type="dxa"/>
          <w:left w:w="0" w:type="dxa"/>
          <w:bottom w:w="0" w:type="dxa"/>
          <w:right w:w="0" w:type="dxa"/>
        </w:tblCellMar>
      </w:tblPr>
      <w:tblGrid>
        <w:gridCol w:w="308"/>
        <w:gridCol w:w="434"/>
        <w:gridCol w:w="415"/>
        <w:gridCol w:w="19"/>
        <w:gridCol w:w="1087"/>
        <w:gridCol w:w="2765"/>
        <w:gridCol w:w="380"/>
        <w:gridCol w:w="541"/>
        <w:gridCol w:w="451"/>
        <w:gridCol w:w="511"/>
        <w:gridCol w:w="434"/>
        <w:gridCol w:w="730"/>
      </w:tblGrid>
      <w:tr>
        <w:tblPrEx>
          <w:tblCellMar>
            <w:top w:w="0" w:type="dxa"/>
            <w:left w:w="0" w:type="dxa"/>
            <w:bottom w:w="0" w:type="dxa"/>
            <w:right w:w="0" w:type="dxa"/>
          </w:tblCellMar>
        </w:tblPrEx>
        <w:trPr>
          <w:trHeight w:val="240" w:hRule="atLeast"/>
          <w:jc w:val="right"/>
        </w:trPr>
        <w:tc>
          <w:tcPr>
            <w:tcW w:w="308"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34" w:type="dxa"/>
            <w:tcBorders>
              <w:top w:val="single" w:color="auto" w:sz="4" w:space="0"/>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15" w:type="dxa"/>
            <w:tcBorders>
              <w:top w:val="single" w:color="auto" w:sz="4" w:space="0"/>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1106" w:type="dxa"/>
            <w:gridSpan w:val="2"/>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2765" w:type="dxa"/>
            <w:tcBorders>
              <w:top w:val="single" w:color="auto" w:sz="4" w:space="0"/>
              <w:left w:val="nil"/>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380" w:type="dxa"/>
            <w:tcBorders>
              <w:top w:val="single" w:color="auto" w:sz="4" w:space="0"/>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541" w:type="dxa"/>
            <w:vMerge w:val="restart"/>
            <w:tcBorders>
              <w:top w:val="single" w:color="auto" w:sz="4" w:space="0"/>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451" w:type="dxa"/>
            <w:vMerge w:val="restart"/>
            <w:tcBorders>
              <w:top w:val="single" w:color="auto" w:sz="4" w:space="0"/>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11" w:type="dxa"/>
            <w:tcBorders>
              <w:top w:val="single" w:color="auto" w:sz="4" w:space="0"/>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434" w:type="dxa"/>
            <w:tcBorders>
              <w:top w:val="single" w:color="auto" w:sz="4" w:space="0"/>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730" w:type="dxa"/>
            <w:vMerge w:val="restart"/>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40" w:hRule="atLeast"/>
          <w:jc w:val="right"/>
        </w:trPr>
        <w:tc>
          <w:tcPr>
            <w:tcW w:w="308" w:type="dxa"/>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34"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15"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1106" w:type="dxa"/>
            <w:gridSpan w:val="2"/>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2765"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80"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541" w:type="dxa"/>
            <w:vMerge w:val="continue"/>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51" w:type="dxa"/>
            <w:vMerge w:val="continue"/>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511"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434"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730" w:type="dxa"/>
            <w:vMerge w:val="continue"/>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40" w:hRule="atLeast"/>
          <w:jc w:val="right"/>
        </w:trPr>
        <w:tc>
          <w:tcPr>
            <w:tcW w:w="308" w:type="dxa"/>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34"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15"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1106" w:type="dxa"/>
            <w:gridSpan w:val="2"/>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2765" w:type="dxa"/>
            <w:tcBorders>
              <w:left w:val="nil"/>
              <w:right w:val="single" w:color="auto" w:sz="4" w:space="0"/>
            </w:tcBorders>
            <w:shd w:val="clear" w:color="auto" w:fill="FFFFFF"/>
            <w:vAlign w:val="center"/>
          </w:tcPr>
          <w:p>
            <w:pPr>
              <w:rPr>
                <w:rFonts w:ascii="宋体" w:hAnsi="宋体" w:cs="宋体"/>
                <w:b/>
                <w:color w:val="auto"/>
                <w:sz w:val="20"/>
                <w:szCs w:val="20"/>
                <w:highlight w:val="none"/>
              </w:rPr>
            </w:pPr>
          </w:p>
        </w:tc>
        <w:tc>
          <w:tcPr>
            <w:tcW w:w="380"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541" w:type="dxa"/>
            <w:vMerge w:val="continue"/>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51" w:type="dxa"/>
            <w:vMerge w:val="continue"/>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511"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34" w:type="dxa"/>
            <w:tcBorders>
              <w:left w:val="nil"/>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730" w:type="dxa"/>
            <w:vMerge w:val="continue"/>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90" w:hRule="atLeast"/>
          <w:jc w:val="right"/>
        </w:trPr>
        <w:tc>
          <w:tcPr>
            <w:tcW w:w="308" w:type="dxa"/>
            <w:tcBorders>
              <w:left w:val="single" w:color="auto" w:sz="4" w:space="0"/>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34" w:type="dxa"/>
            <w:tcBorders>
              <w:left w:val="nil"/>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15" w:type="dxa"/>
            <w:tcBorders>
              <w:left w:val="nil"/>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106" w:type="dxa"/>
            <w:gridSpan w:val="2"/>
            <w:tcBorders>
              <w:left w:val="single" w:color="auto" w:sz="4" w:space="0"/>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765" w:type="dxa"/>
            <w:tcBorders>
              <w:left w:val="nil"/>
              <w:bottom w:val="single" w:color="auto" w:sz="4" w:space="0"/>
              <w:right w:val="single" w:color="auto" w:sz="4" w:space="0"/>
            </w:tcBorders>
            <w:shd w:val="clear" w:color="auto" w:fill="FFFFFF"/>
            <w:vAlign w:val="center"/>
          </w:tcPr>
          <w:p>
            <w:pPr>
              <w:rPr>
                <w:rFonts w:ascii="宋体" w:hAnsi="宋体" w:cs="宋体"/>
                <w:color w:val="auto"/>
                <w:sz w:val="20"/>
                <w:szCs w:val="20"/>
                <w:highlight w:val="none"/>
              </w:rPr>
            </w:pPr>
          </w:p>
        </w:tc>
        <w:tc>
          <w:tcPr>
            <w:tcW w:w="380" w:type="dxa"/>
            <w:tcBorders>
              <w:left w:val="nil"/>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41" w:type="dxa"/>
            <w:vMerge w:val="continue"/>
            <w:tcBorders>
              <w:left w:val="nil"/>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51" w:type="dxa"/>
            <w:vMerge w:val="continue"/>
            <w:tcBorders>
              <w:left w:val="nil"/>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511" w:type="dxa"/>
            <w:tcBorders>
              <w:left w:val="nil"/>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34" w:type="dxa"/>
            <w:tcBorders>
              <w:left w:val="nil"/>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730" w:type="dxa"/>
            <w:vMerge w:val="continue"/>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94" w:hRule="exact"/>
          <w:jc w:val="right"/>
        </w:trPr>
        <w:tc>
          <w:tcPr>
            <w:tcW w:w="308"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434" w:type="dxa"/>
            <w:vMerge w:val="restart"/>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二</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一</w:t>
            </w:r>
          </w:p>
        </w:tc>
        <w:tc>
          <w:tcPr>
            <w:tcW w:w="415" w:type="dxa"/>
            <w:vMerge w:val="restart"/>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普通班</w:t>
            </w:r>
          </w:p>
        </w:tc>
        <w:tc>
          <w:tcPr>
            <w:tcW w:w="11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b4090001</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基础工程训练A</w:t>
            </w:r>
          </w:p>
        </w:tc>
        <w:tc>
          <w:tcPr>
            <w:tcW w:w="38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3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322"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vMerge w:val="continue"/>
            <w:tcBorders>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15" w:type="dxa"/>
            <w:vMerge w:val="continue"/>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b4011059jx</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计算机辅助设计及制造实践</w:t>
            </w:r>
          </w:p>
        </w:tc>
        <w:tc>
          <w:tcPr>
            <w:tcW w:w="38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3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334"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中本</w:t>
            </w:r>
          </w:p>
        </w:tc>
        <w:tc>
          <w:tcPr>
            <w:tcW w:w="434" w:type="dxa"/>
            <w:vMerge w:val="continue"/>
            <w:tcBorders>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15" w:type="dxa"/>
            <w:vMerge w:val="restart"/>
            <w:tcBorders>
              <w:top w:val="single" w:color="auto" w:sz="4" w:space="0"/>
              <w:left w:val="nil"/>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中本贯通</w:t>
            </w:r>
          </w:p>
        </w:tc>
        <w:tc>
          <w:tcPr>
            <w:tcW w:w="11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b4011400</w:t>
            </w:r>
          </w:p>
        </w:tc>
        <w:tc>
          <w:tcPr>
            <w:tcW w:w="276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计算机辅助设计实践</w:t>
            </w:r>
          </w:p>
        </w:tc>
        <w:tc>
          <w:tcPr>
            <w:tcW w:w="38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3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300"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vMerge w:val="continue"/>
            <w:tcBorders>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15" w:type="dxa"/>
            <w:vMerge w:val="continue"/>
            <w:tcBorders>
              <w:left w:val="nil"/>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11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b4011401</w:t>
            </w:r>
          </w:p>
        </w:tc>
        <w:tc>
          <w:tcPr>
            <w:tcW w:w="276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3D打印技术实践</w:t>
            </w:r>
          </w:p>
        </w:tc>
        <w:tc>
          <w:tcPr>
            <w:tcW w:w="38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73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300"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vMerge w:val="continue"/>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15" w:type="dxa"/>
            <w:vMerge w:val="continue"/>
            <w:tcBorders>
              <w:left w:val="nil"/>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11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b4011402</w:t>
            </w:r>
          </w:p>
        </w:tc>
        <w:tc>
          <w:tcPr>
            <w:tcW w:w="276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计算机辅助制造实践</w:t>
            </w:r>
          </w:p>
        </w:tc>
        <w:tc>
          <w:tcPr>
            <w:tcW w:w="38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3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57"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b4011088jx</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现代工程制图测绘</w:t>
            </w:r>
          </w:p>
        </w:tc>
        <w:tc>
          <w:tcPr>
            <w:tcW w:w="38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3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b4011106jx</w:t>
            </w:r>
          </w:p>
        </w:tc>
        <w:tc>
          <w:tcPr>
            <w:tcW w:w="2765"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企业认识实习</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b4011255jx</w:t>
            </w:r>
          </w:p>
        </w:tc>
        <w:tc>
          <w:tcPr>
            <w:tcW w:w="2765"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互换性及测量技术实践</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b4090005</w:t>
            </w:r>
          </w:p>
        </w:tc>
        <w:tc>
          <w:tcPr>
            <w:tcW w:w="2765"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电工学技能实习</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b4011111jx</w:t>
            </w:r>
          </w:p>
        </w:tc>
        <w:tc>
          <w:tcPr>
            <w:tcW w:w="2765"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数控编程及加工实践</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b4000012</w:t>
            </w:r>
          </w:p>
        </w:tc>
        <w:tc>
          <w:tcPr>
            <w:tcW w:w="2765"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机械工程专业创新创业</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b4011339</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b4011302jx</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机械设计课程设计（英）</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b4011166jx</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机制工艺规程设计实践</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345"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b4011905jx</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ind w:right="-90" w:rightChars="-43"/>
              <w:rPr>
                <w:rFonts w:ascii="宋体" w:hAnsi="宋体" w:cs="宋体"/>
                <w:color w:val="auto"/>
                <w:sz w:val="20"/>
                <w:szCs w:val="20"/>
                <w:highlight w:val="none"/>
              </w:rPr>
            </w:pPr>
            <w:r>
              <w:rPr>
                <w:rFonts w:hint="eastAsia" w:ascii="宋体" w:hAnsi="宋体" w:cs="宋体"/>
                <w:color w:val="auto"/>
                <w:sz w:val="18"/>
                <w:szCs w:val="18"/>
                <w:highlight w:val="none"/>
              </w:rPr>
              <w:t>机械系统设计与精密制造项目集成</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b4011358jx</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工业机器人系统集成</w:t>
            </w:r>
            <w:r>
              <w:rPr>
                <w:color w:val="auto"/>
                <w:highlight w:val="none"/>
              </w:rPr>
              <w:commentReference w:id="2"/>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b4011906jx</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机械工程岗位实习</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b4011264jx</w:t>
            </w:r>
          </w:p>
        </w:tc>
        <w:tc>
          <w:tcPr>
            <w:tcW w:w="276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机械工程综合实践</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72</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522" w:hRule="exact"/>
          <w:jc w:val="right"/>
        </w:trPr>
        <w:tc>
          <w:tcPr>
            <w:tcW w:w="308" w:type="dxa"/>
            <w:vMerge w:val="continue"/>
            <w:tcBorders>
              <w:left w:val="single" w:color="auto" w:sz="4" w:space="0"/>
              <w:bottom w:val="nil"/>
              <w:right w:val="single" w:color="auto" w:sz="4" w:space="0"/>
            </w:tcBorders>
            <w:shd w:val="clear" w:color="auto" w:fill="FFFFFF"/>
            <w:vAlign w:val="center"/>
          </w:tcPr>
          <w:p>
            <w:pPr>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b4011247</w:t>
            </w:r>
          </w:p>
        </w:tc>
        <w:tc>
          <w:tcPr>
            <w:tcW w:w="2765"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机械工程专业毕业实习与毕业设计（论文）</w:t>
            </w:r>
          </w:p>
        </w:tc>
        <w:tc>
          <w:tcPr>
            <w:tcW w:w="38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春4</w:t>
            </w:r>
          </w:p>
        </w:tc>
      </w:tr>
      <w:tr>
        <w:tblPrEx>
          <w:tblCellMar>
            <w:top w:w="0" w:type="dxa"/>
            <w:left w:w="0" w:type="dxa"/>
            <w:bottom w:w="0" w:type="dxa"/>
            <w:right w:w="0" w:type="dxa"/>
          </w:tblCellMar>
        </w:tblPrEx>
        <w:trPr>
          <w:trHeight w:val="325" w:hRule="exact"/>
          <w:jc w:val="right"/>
        </w:trPr>
        <w:tc>
          <w:tcPr>
            <w:tcW w:w="5028" w:type="dxa"/>
            <w:gridSpan w:val="6"/>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小计（专业实践）</w:t>
            </w:r>
          </w:p>
        </w:tc>
        <w:tc>
          <w:tcPr>
            <w:tcW w:w="380" w:type="dxa"/>
            <w:tcBorders>
              <w:top w:val="nil"/>
              <w:left w:val="nil"/>
              <w:bottom w:val="single" w:color="auto" w:sz="4" w:space="0"/>
              <w:right w:val="single" w:color="auto" w:sz="4" w:space="0"/>
            </w:tcBorders>
            <w:shd w:val="clear" w:color="auto" w:fill="D7D7D7" w:themeFill="background1" w:themeFillShade="D8"/>
            <w:vAlign w:val="center"/>
          </w:tcPr>
          <w:p>
            <w:pPr>
              <w:jc w:val="center"/>
              <w:rPr>
                <w:rFonts w:ascii="宋体" w:hAnsi="宋体" w:cs="宋体"/>
                <w:b/>
                <w:color w:val="auto"/>
                <w:sz w:val="20"/>
                <w:szCs w:val="20"/>
                <w:highlight w:val="none"/>
              </w:rPr>
            </w:pPr>
          </w:p>
        </w:tc>
        <w:tc>
          <w:tcPr>
            <w:tcW w:w="541" w:type="dxa"/>
            <w:tcBorders>
              <w:top w:val="nil"/>
              <w:left w:val="nil"/>
              <w:bottom w:val="single" w:color="auto" w:sz="4" w:space="0"/>
              <w:right w:val="single" w:color="auto" w:sz="4" w:space="0"/>
            </w:tcBorders>
            <w:shd w:val="clear" w:color="auto" w:fill="D7D7D7" w:themeFill="background1" w:themeFillShade="D8"/>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37.5</w:t>
            </w:r>
          </w:p>
        </w:tc>
        <w:tc>
          <w:tcPr>
            <w:tcW w:w="451" w:type="dxa"/>
            <w:tcBorders>
              <w:top w:val="nil"/>
              <w:left w:val="nil"/>
              <w:bottom w:val="single" w:color="auto" w:sz="4" w:space="0"/>
              <w:right w:val="single" w:color="auto" w:sz="4" w:space="0"/>
            </w:tcBorders>
            <w:shd w:val="clear" w:color="auto" w:fill="D7D7D7" w:themeFill="background1" w:themeFillShade="D8"/>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1048</w:t>
            </w:r>
          </w:p>
        </w:tc>
        <w:tc>
          <w:tcPr>
            <w:tcW w:w="511" w:type="dxa"/>
            <w:tcBorders>
              <w:top w:val="nil"/>
              <w:left w:val="nil"/>
              <w:bottom w:val="single" w:color="auto" w:sz="4" w:space="0"/>
              <w:right w:val="single" w:color="auto" w:sz="4" w:space="0"/>
            </w:tcBorders>
            <w:shd w:val="clear" w:color="auto" w:fill="D7D7D7" w:themeFill="background1" w:themeFillShade="D8"/>
            <w:vAlign w:val="center"/>
          </w:tcPr>
          <w:p>
            <w:pPr>
              <w:jc w:val="center"/>
              <w:rPr>
                <w:rFonts w:ascii="宋体" w:hAnsi="宋体" w:cs="宋体"/>
                <w:b/>
                <w:color w:val="auto"/>
                <w:sz w:val="20"/>
                <w:szCs w:val="20"/>
                <w:highlight w:val="none"/>
              </w:rPr>
            </w:pPr>
          </w:p>
        </w:tc>
        <w:tc>
          <w:tcPr>
            <w:tcW w:w="434" w:type="dxa"/>
            <w:tcBorders>
              <w:top w:val="nil"/>
              <w:left w:val="nil"/>
              <w:bottom w:val="single" w:color="auto" w:sz="4" w:space="0"/>
              <w:right w:val="single" w:color="auto" w:sz="4" w:space="0"/>
            </w:tcBorders>
            <w:shd w:val="clear" w:color="auto" w:fill="D7D7D7" w:themeFill="background1" w:themeFillShade="D8"/>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1048</w:t>
            </w:r>
          </w:p>
        </w:tc>
        <w:tc>
          <w:tcPr>
            <w:tcW w:w="730" w:type="dxa"/>
            <w:tcBorders>
              <w:top w:val="nil"/>
              <w:left w:val="nil"/>
              <w:bottom w:val="single" w:color="auto" w:sz="4" w:space="0"/>
              <w:right w:val="single" w:color="auto" w:sz="4" w:space="0"/>
            </w:tcBorders>
            <w:shd w:val="clear" w:color="auto" w:fill="D7D7D7" w:themeFill="background1" w:themeFillShade="D8"/>
          </w:tcPr>
          <w:p>
            <w:pPr>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1293" w:hRule="exact"/>
          <w:jc w:val="right"/>
        </w:trPr>
        <w:tc>
          <w:tcPr>
            <w:tcW w:w="30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第二课堂</w:t>
            </w:r>
          </w:p>
        </w:tc>
        <w:tc>
          <w:tcPr>
            <w:tcW w:w="4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color w:val="auto"/>
                <w:sz w:val="20"/>
                <w:szCs w:val="20"/>
                <w:highlight w:val="none"/>
              </w:rPr>
            </w:pPr>
            <w:r>
              <w:rPr>
                <w:rFonts w:hint="eastAsia" w:ascii="宋体" w:hAnsi="宋体" w:cs="宋体"/>
                <w:bCs/>
                <w:color w:val="auto"/>
                <w:sz w:val="20"/>
                <w:szCs w:val="20"/>
                <w:highlight w:val="none"/>
              </w:rPr>
              <w:t>必</w:t>
            </w: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b5110001</w:t>
            </w:r>
          </w:p>
        </w:tc>
        <w:tc>
          <w:tcPr>
            <w:tcW w:w="276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第二课堂</w:t>
            </w:r>
          </w:p>
        </w:tc>
        <w:tc>
          <w:tcPr>
            <w:tcW w:w="38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43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73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Cs/>
                <w:color w:val="auto"/>
                <w:sz w:val="20"/>
                <w:szCs w:val="20"/>
                <w:highlight w:val="none"/>
              </w:rPr>
            </w:pPr>
            <w:r>
              <w:rPr>
                <w:rFonts w:hint="eastAsia" w:ascii="宋体" w:hAnsi="宋体" w:cs="宋体"/>
                <w:bCs/>
                <w:color w:val="auto"/>
                <w:sz w:val="20"/>
                <w:szCs w:val="20"/>
                <w:highlight w:val="none"/>
              </w:rPr>
              <w:t>秋，春，夏</w:t>
            </w:r>
          </w:p>
        </w:tc>
      </w:tr>
      <w:tr>
        <w:tblPrEx>
          <w:tblCellMar>
            <w:top w:w="0" w:type="dxa"/>
            <w:left w:w="0" w:type="dxa"/>
            <w:bottom w:w="0" w:type="dxa"/>
            <w:right w:w="0" w:type="dxa"/>
          </w:tblCellMar>
        </w:tblPrEx>
        <w:trPr>
          <w:trHeight w:val="433" w:hRule="exact"/>
          <w:jc w:val="right"/>
        </w:trPr>
        <w:tc>
          <w:tcPr>
            <w:tcW w:w="5028" w:type="dxa"/>
            <w:gridSpan w:val="6"/>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ascii="宋体" w:hAnsi="宋体" w:cs="宋体"/>
                <w:b/>
                <w:bCs/>
                <w:color w:val="auto"/>
                <w:sz w:val="20"/>
                <w:szCs w:val="20"/>
                <w:highlight w:val="none"/>
              </w:rPr>
            </w:pPr>
            <w:r>
              <w:rPr>
                <w:rFonts w:hint="eastAsia" w:ascii="宋体" w:hAnsi="宋体" w:cs="宋体"/>
                <w:b/>
                <w:color w:val="auto"/>
                <w:sz w:val="20"/>
                <w:szCs w:val="20"/>
                <w:highlight w:val="none"/>
              </w:rPr>
              <w:t>总   计</w:t>
            </w:r>
          </w:p>
        </w:tc>
        <w:tc>
          <w:tcPr>
            <w:tcW w:w="380"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ascii="宋体" w:hAnsi="宋体" w:cs="宋体"/>
                <w:b/>
                <w:bCs/>
                <w:color w:val="auto"/>
                <w:sz w:val="20"/>
                <w:szCs w:val="20"/>
                <w:highlight w:val="none"/>
              </w:rPr>
            </w:pPr>
          </w:p>
        </w:tc>
        <w:tc>
          <w:tcPr>
            <w:tcW w:w="54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jc w:val="center"/>
              <w:rPr>
                <w:rFonts w:hint="eastAsia" w:ascii="宋体" w:hAnsi="宋体" w:eastAsia="宋体" w:cs="宋体"/>
                <w:b/>
                <w:bCs/>
                <w:color w:val="auto"/>
                <w:sz w:val="20"/>
                <w:szCs w:val="20"/>
                <w:highlight w:val="none"/>
                <w:lang w:eastAsia="zh-CN"/>
              </w:rPr>
            </w:pPr>
            <w:r>
              <w:rPr>
                <w:rFonts w:hint="eastAsia" w:ascii="宋体" w:hAnsi="宋体" w:cs="宋体"/>
                <w:b/>
                <w:bCs/>
                <w:color w:val="auto"/>
                <w:sz w:val="20"/>
                <w:szCs w:val="20"/>
                <w:highlight w:val="none"/>
              </w:rPr>
              <w:t>16</w:t>
            </w:r>
            <w:r>
              <w:rPr>
                <w:rFonts w:hint="eastAsia" w:ascii="宋体" w:hAnsi="宋体" w:cs="宋体"/>
                <w:b/>
                <w:bCs/>
                <w:color w:val="auto"/>
                <w:sz w:val="20"/>
                <w:szCs w:val="20"/>
                <w:highlight w:val="none"/>
                <w:lang w:val="en-US" w:eastAsia="zh-CN"/>
              </w:rPr>
              <w:t>6</w:t>
            </w:r>
          </w:p>
        </w:tc>
        <w:tc>
          <w:tcPr>
            <w:tcW w:w="45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3224</w:t>
            </w:r>
          </w:p>
        </w:tc>
        <w:tc>
          <w:tcPr>
            <w:tcW w:w="51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1943</w:t>
            </w:r>
          </w:p>
        </w:tc>
        <w:tc>
          <w:tcPr>
            <w:tcW w:w="4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1281</w:t>
            </w:r>
          </w:p>
        </w:tc>
        <w:tc>
          <w:tcPr>
            <w:tcW w:w="73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jc w:val="center"/>
              <w:rPr>
                <w:rFonts w:ascii="宋体" w:hAnsi="宋体" w:cs="宋体"/>
                <w:b/>
                <w:bCs/>
                <w:color w:val="auto"/>
                <w:sz w:val="20"/>
                <w:szCs w:val="20"/>
                <w:highlight w:val="none"/>
              </w:rPr>
            </w:pPr>
          </w:p>
        </w:tc>
      </w:tr>
    </w:tbl>
    <w:p>
      <w:pPr>
        <w:tabs>
          <w:tab w:val="left" w:pos="4136"/>
        </w:tabs>
        <w:contextualSpacing/>
        <w:rPr>
          <w:rFonts w:ascii="Times New Roman" w:hAnsi="Times New Roman" w:eastAsia="黑体"/>
          <w:b/>
          <w:color w:val="auto"/>
          <w:szCs w:val="21"/>
          <w:highlight w:val="none"/>
        </w:rPr>
      </w:pPr>
      <w:r>
        <w:rPr>
          <w:rFonts w:ascii="Times New Roman" w:hAnsi="Times New Roman" w:eastAsia="黑体"/>
          <w:b/>
          <w:color w:val="auto"/>
          <w:szCs w:val="21"/>
          <w:highlight w:val="none"/>
        </w:rPr>
        <w:t>职业资格证书与课程的关联说明：</w:t>
      </w:r>
      <w:r>
        <w:rPr>
          <w:rFonts w:ascii="Times New Roman" w:hAnsi="Times New Roman" w:eastAsia="黑体"/>
          <w:b/>
          <w:color w:val="auto"/>
          <w:szCs w:val="21"/>
          <w:highlight w:val="none"/>
        </w:rPr>
        <w:tab/>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机械工程专业学生通过《</w:t>
      </w:r>
      <w:r>
        <w:rPr>
          <w:rFonts w:ascii="Times New Roman" w:hAnsi="Times New Roman"/>
          <w:bCs/>
          <w:color w:val="auto"/>
          <w:szCs w:val="21"/>
          <w:highlight w:val="none"/>
        </w:rPr>
        <w:t>现代工程制图</w:t>
      </w:r>
      <w:r>
        <w:rPr>
          <w:rFonts w:ascii="Times New Roman" w:hAnsi="Times New Roman"/>
          <w:color w:val="auto"/>
          <w:szCs w:val="21"/>
          <w:highlight w:val="none"/>
        </w:rPr>
        <w:t>》、《现代工程制图测绘》、《计算机辅助设计及制造实践》课程的学习，可参加UG/Solidworks高级证书等与本专业相关的职业资格证书考核；通过《机械制造工艺》、《数控机床与编程》、《数控编程及加工实践》、《机械系统设计与精密制造项目集成》课程的学习，可参加数控铣工、数控装调与维修等与本专业相关的职业资格证书考核以及可以申请见习专业工程师资格证（中国机械工程学会）。</w:t>
      </w: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十，第二课堂学分</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widowControl/>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42"/>
        <w:gridCol w:w="1342"/>
        <w:gridCol w:w="1342"/>
        <w:gridCol w:w="1342"/>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68" w:type="dxa"/>
            <w:tcBorders>
              <w:bottom w:val="single" w:color="000000" w:sz="4" w:space="0"/>
              <w:tl2br w:val="single" w:color="auto" w:sz="4" w:space="0"/>
            </w:tcBorders>
            <w:vAlign w:val="center"/>
          </w:tcPr>
          <w:p>
            <w:pPr>
              <w:widowControl/>
              <w:adjustRightInd w:val="0"/>
              <w:snapToGrid w:val="0"/>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p>
          <w:p>
            <w:pPr>
              <w:widowControl/>
              <w:adjustRightInd w:val="0"/>
              <w:snapToGrid w:val="0"/>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w:t>
            </w:r>
          </w:p>
        </w:tc>
        <w:tc>
          <w:tcPr>
            <w:tcW w:w="1342"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培养目标1</w:t>
            </w:r>
          </w:p>
        </w:tc>
        <w:tc>
          <w:tcPr>
            <w:tcW w:w="1342"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培养目标2</w:t>
            </w:r>
          </w:p>
        </w:tc>
        <w:tc>
          <w:tcPr>
            <w:tcW w:w="1342"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培养目标3</w:t>
            </w:r>
          </w:p>
        </w:tc>
        <w:tc>
          <w:tcPr>
            <w:tcW w:w="1342"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培养目标4</w:t>
            </w:r>
          </w:p>
        </w:tc>
        <w:tc>
          <w:tcPr>
            <w:tcW w:w="1344" w:type="dxa"/>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8" w:type="dxa"/>
            <w:tcBorders>
              <w:top w:val="single" w:color="000000" w:sz="4" w:space="0"/>
            </w:tcBorders>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4" w:type="dxa"/>
            <w:vAlign w:val="center"/>
          </w:tcPr>
          <w:p>
            <w:pPr>
              <w:widowControl/>
              <w:adjustRightInd w:val="0"/>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4" w:type="dxa"/>
            <w:vAlign w:val="center"/>
          </w:tcPr>
          <w:p>
            <w:pPr>
              <w:widowControl/>
              <w:adjustRightInd w:val="0"/>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4" w:type="dxa"/>
            <w:vAlign w:val="center"/>
          </w:tcPr>
          <w:p>
            <w:pPr>
              <w:widowControl/>
              <w:adjustRightInd w:val="0"/>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4" w:type="dxa"/>
            <w:vAlign w:val="center"/>
          </w:tcPr>
          <w:p>
            <w:pPr>
              <w:widowControl/>
              <w:adjustRightInd w:val="0"/>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4" w:type="dxa"/>
            <w:vAlign w:val="center"/>
          </w:tcPr>
          <w:p>
            <w:pPr>
              <w:widowControl/>
              <w:adjustRightInd w:val="0"/>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4" w:type="dxa"/>
            <w:vAlign w:val="center"/>
          </w:tcPr>
          <w:p>
            <w:pPr>
              <w:widowControl/>
              <w:adjustRightInd w:val="0"/>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4"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4" w:type="dxa"/>
            <w:vAlign w:val="center"/>
          </w:tcPr>
          <w:p>
            <w:pPr>
              <w:widowControl/>
              <w:adjustRightInd w:val="0"/>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4" w:type="dxa"/>
            <w:vAlign w:val="center"/>
          </w:tcPr>
          <w:p>
            <w:pPr>
              <w:widowControl/>
              <w:adjustRightInd w:val="0"/>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4"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c>
          <w:tcPr>
            <w:tcW w:w="1344" w:type="dxa"/>
            <w:vAlign w:val="center"/>
          </w:tcPr>
          <w:p>
            <w:pPr>
              <w:widowControl/>
              <w:adjustRightInd w:val="0"/>
              <w:snapToGrid w:val="0"/>
              <w:jc w:val="center"/>
              <w:rPr>
                <w:rFonts w:ascii="黑体" w:hAnsi="黑体" w:eastAsia="黑体" w:cs="黑体"/>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2" w:type="dxa"/>
            <w:vAlign w:val="center"/>
          </w:tcPr>
          <w:p>
            <w:pPr>
              <w:widowControl/>
              <w:adjustRightInd w:val="0"/>
              <w:snapToGrid w:val="0"/>
              <w:jc w:val="center"/>
              <w:rPr>
                <w:rFonts w:ascii="黑体" w:hAnsi="黑体" w:eastAsia="黑体" w:cs="黑体"/>
                <w:color w:val="auto"/>
                <w:sz w:val="20"/>
                <w:szCs w:val="20"/>
                <w:highlight w:val="none"/>
              </w:rPr>
            </w:pPr>
          </w:p>
        </w:tc>
        <w:tc>
          <w:tcPr>
            <w:tcW w:w="1344" w:type="dxa"/>
            <w:vAlign w:val="center"/>
          </w:tcPr>
          <w:p>
            <w:pPr>
              <w:widowControl/>
              <w:adjustRightInd w:val="0"/>
              <w:snapToGrid w:val="0"/>
              <w:jc w:val="center"/>
              <w:rPr>
                <w:rFonts w:ascii="黑体" w:hAnsi="黑体" w:eastAsia="黑体" w:cs="黑体"/>
                <w:color w:val="auto"/>
                <w:sz w:val="20"/>
                <w:szCs w:val="20"/>
                <w:highlight w:val="none"/>
              </w:rPr>
            </w:pPr>
            <w:r>
              <w:rPr>
                <w:rFonts w:hint="eastAsia" w:ascii="黑体" w:hAnsi="黑体" w:eastAsia="黑体" w:cs="黑体"/>
                <w:color w:val="auto"/>
                <w:sz w:val="20"/>
                <w:szCs w:val="20"/>
                <w:highlight w:val="none"/>
              </w:rPr>
              <w:t>√</w:t>
            </w: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widowControl/>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附录二：课程对毕业要求的支撑关系矩阵（H/M/L）</w:t>
      </w:r>
    </w:p>
    <w:tbl>
      <w:tblPr>
        <w:tblStyle w:val="8"/>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 xml:space="preserve">           毕业要求</w:t>
            </w:r>
          </w:p>
          <w:p>
            <w:pPr>
              <w:widowControl/>
              <w:adjustRightInd w:val="0"/>
              <w:snapToGrid w:val="0"/>
              <w:jc w:val="center"/>
              <w:rPr>
                <w:rFonts w:ascii="宋体" w:hAnsi="宋体" w:cs="宋体"/>
                <w:b/>
                <w:bCs/>
                <w:color w:val="auto"/>
                <w:sz w:val="20"/>
                <w:szCs w:val="20"/>
                <w:highlight w:val="none"/>
              </w:rPr>
            </w:pPr>
          </w:p>
          <w:p>
            <w:pPr>
              <w:widowControl/>
              <w:adjustRightInd w:val="0"/>
              <w:snapToGrid w:val="0"/>
              <w:ind w:firstLine="402" w:firstLineChars="200"/>
              <w:rPr>
                <w:rFonts w:ascii="宋体" w:hAnsi="宋体" w:cs="宋体"/>
                <w:b/>
                <w:bCs/>
                <w:color w:val="auto"/>
                <w:sz w:val="20"/>
                <w:szCs w:val="20"/>
                <w:highlight w:val="none"/>
              </w:rPr>
            </w:pPr>
            <w:r>
              <w:rPr>
                <w:rFonts w:hint="eastAsia" w:ascii="宋体" w:hAnsi="宋体" w:cs="宋体"/>
                <w:b/>
                <w:bCs/>
                <w:color w:val="auto"/>
                <w:sz w:val="20"/>
                <w:szCs w:val="20"/>
                <w:highlight w:val="none"/>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b/>
                <w:bCs/>
                <w:color w:val="auto"/>
                <w:kern w:val="0"/>
                <w:sz w:val="20"/>
                <w:szCs w:val="20"/>
                <w:highlight w:val="none"/>
                <w:lang w:bidi="ar"/>
              </w:rPr>
              <w:t xml:space="preserve">           </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615"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6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复变函数与积分变换</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strike/>
                <w:color w:val="auto"/>
                <w:sz w:val="20"/>
                <w:szCs w:val="20"/>
                <w:highlight w:val="none"/>
              </w:rPr>
            </w:pPr>
            <w:r>
              <w:rPr>
                <w:rFonts w:hint="eastAsia" w:ascii="宋体" w:hAnsi="宋体" w:cs="宋体"/>
                <w:color w:val="auto"/>
                <w:kern w:val="0"/>
                <w:sz w:val="20"/>
                <w:szCs w:val="20"/>
                <w:highlight w:val="none"/>
                <w:lang w:bidi="ar"/>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通用英语（德语）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基础工程训练A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电工学技能实习</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strike/>
                <w:color w:val="auto"/>
                <w:sz w:val="20"/>
                <w:szCs w:val="20"/>
                <w:highlight w:val="none"/>
              </w:rPr>
            </w:pPr>
            <w:r>
              <w:rPr>
                <w:rFonts w:hint="eastAsia" w:ascii="宋体" w:hAnsi="宋体" w:cs="宋体"/>
                <w:color w:val="auto"/>
                <w:kern w:val="0"/>
                <w:sz w:val="20"/>
                <w:szCs w:val="20"/>
                <w:highlight w:val="none"/>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strike/>
                <w:color w:val="auto"/>
                <w:sz w:val="20"/>
                <w:szCs w:val="20"/>
                <w:highlight w:val="none"/>
              </w:rPr>
            </w:pPr>
            <w:r>
              <w:rPr>
                <w:rFonts w:hint="eastAsia" w:ascii="宋体" w:hAnsi="宋体" w:cs="宋体"/>
                <w:color w:val="auto"/>
                <w:kern w:val="0"/>
                <w:sz w:val="20"/>
                <w:szCs w:val="20"/>
                <w:highlight w:val="none"/>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27</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现代工程制图I</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现代工程制图II</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29</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tabs>
                <w:tab w:val="left" w:pos="5718"/>
              </w:tabs>
              <w:rPr>
                <w:rFonts w:ascii="宋体" w:hAnsi="宋体" w:cs="宋体"/>
                <w:color w:val="auto"/>
                <w:sz w:val="20"/>
                <w:szCs w:val="20"/>
                <w:highlight w:val="none"/>
              </w:rPr>
            </w:pPr>
            <w:r>
              <w:rPr>
                <w:rFonts w:hint="eastAsia" w:ascii="宋体" w:hAnsi="宋体" w:cs="宋体"/>
                <w:bCs/>
                <w:color w:val="auto"/>
                <w:sz w:val="20"/>
                <w:szCs w:val="20"/>
                <w:highlight w:val="none"/>
              </w:rPr>
              <w:t>现代工程制图</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30</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tabs>
                <w:tab w:val="left" w:pos="5718"/>
              </w:tabs>
              <w:rPr>
                <w:rFonts w:ascii="宋体" w:hAnsi="宋体" w:cs="宋体"/>
                <w:color w:val="auto"/>
                <w:sz w:val="20"/>
                <w:szCs w:val="20"/>
                <w:highlight w:val="none"/>
              </w:rPr>
            </w:pPr>
            <w:r>
              <w:rPr>
                <w:rFonts w:hint="eastAsia" w:ascii="宋体" w:hAnsi="宋体" w:cs="宋体"/>
                <w:color w:val="auto"/>
                <w:sz w:val="20"/>
                <w:szCs w:val="20"/>
                <w:highlight w:val="none"/>
              </w:rPr>
              <w:t>数控系统与原理</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31</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工程材料基础</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工程力学I</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widowControl/>
              <w:adjustRightInd w:val="0"/>
              <w:snapToGrid w:val="0"/>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工程力学II</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热工与流体力学基础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工程导论</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p>
            <w:pPr>
              <w:widowControl/>
              <w:adjustRightInd w:val="0"/>
              <w:snapToGrid w:val="0"/>
              <w:jc w:val="center"/>
              <w:rPr>
                <w:rFonts w:ascii="宋体" w:hAnsi="宋体" w:cs="宋体"/>
                <w:color w:val="auto"/>
                <w:sz w:val="20"/>
                <w:szCs w:val="20"/>
                <w:highlight w:val="none"/>
              </w:rPr>
            </w:pP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机械原理</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lang w:bidi="ar"/>
              </w:rPr>
              <w:t>机械制造工艺</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tabs>
                <w:tab w:val="left" w:pos="5718"/>
              </w:tabs>
              <w:rPr>
                <w:rFonts w:ascii="宋体" w:hAnsi="宋体" w:cs="宋体"/>
                <w:bCs/>
                <w:color w:val="auto"/>
                <w:sz w:val="20"/>
                <w:szCs w:val="20"/>
                <w:highlight w:val="none"/>
              </w:rPr>
            </w:pPr>
            <w:r>
              <w:rPr>
                <w:rFonts w:hint="eastAsia" w:ascii="宋体" w:hAnsi="宋体" w:cs="宋体"/>
                <w:bCs/>
                <w:color w:val="auto"/>
                <w:sz w:val="20"/>
                <w:szCs w:val="20"/>
                <w:highlight w:val="none"/>
              </w:rPr>
              <w:t>机械原理及机构创新设计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tabs>
                <w:tab w:val="left" w:pos="5718"/>
              </w:tabs>
              <w:rPr>
                <w:rFonts w:ascii="宋体" w:hAnsi="宋体" w:cs="宋体"/>
                <w:bCs/>
                <w:color w:val="auto"/>
                <w:sz w:val="20"/>
                <w:szCs w:val="20"/>
                <w:highlight w:val="none"/>
              </w:rPr>
            </w:pPr>
            <w:r>
              <w:rPr>
                <w:rFonts w:hint="eastAsia" w:ascii="宋体" w:hAnsi="宋体" w:cs="宋体"/>
                <w:color w:val="auto"/>
                <w:sz w:val="20"/>
                <w:szCs w:val="20"/>
                <w:highlight w:val="none"/>
              </w:rPr>
              <w:t>机械制造工艺学</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机械设计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工程控制原理</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1"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传感器与智能检测技术</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lang w:bidi="ar"/>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lang w:bidi="ar"/>
              </w:rPr>
              <w:t>可编程控制器（PLC）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lang w:bidi="ar"/>
              </w:rPr>
              <w:t>数控机床与编程</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lang w:bidi="ar"/>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lang w:bidi="ar"/>
              </w:rPr>
              <w:t>工业机器人及应用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lang w:bidi="ar"/>
              </w:rPr>
              <w:t>智能制造生产管理（MES/ERP）</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计算机辅助设计及制造实践</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计算机辅助设计实践</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3D打印技术实践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计算机辅助制造实践</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现代工程制图测绘</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企业认识实习</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互换性及测量技术实践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计算机辅助设计及制造实践</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数控编程及加工实践</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机械工程专业创新创业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机械设计课程设计（英）</w:t>
            </w: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bottom"/>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机制工艺规程设计实践</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机械系统设计与精密制造项目集成</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06"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工业机器人系统集成</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机械工程岗位实习</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机械工程综合实践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570"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机械工程专业毕业实习与毕业设计（论文）</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r>
    </w:tbl>
    <w:p>
      <w:pPr>
        <w:widowControl/>
        <w:adjustRightInd w:val="0"/>
        <w:snapToGrid w:val="0"/>
        <w:rPr>
          <w:rFonts w:ascii="宋体" w:hAnsi="宋体" w:cs="宋体"/>
          <w:b/>
          <w:bCs/>
          <w:color w:val="auto"/>
          <w:szCs w:val="21"/>
          <w:highlight w:val="none"/>
        </w:rPr>
      </w:pPr>
    </w:p>
    <w:p>
      <w:pPr>
        <w:widowControl/>
        <w:adjustRightInd w:val="0"/>
        <w:snapToGrid w:val="0"/>
        <w:rPr>
          <w:rFonts w:ascii="Times New Roman" w:hAnsi="Times New Roman"/>
          <w:b/>
          <w:bCs/>
          <w:color w:val="auto"/>
          <w:szCs w:val="21"/>
          <w:highlight w:val="none"/>
        </w:rPr>
      </w:pPr>
      <w:r>
        <w:rPr>
          <w:rFonts w:ascii="Times New Roman" w:hAnsi="Times New Roman"/>
          <w:b/>
          <w:bCs/>
          <w:color w:val="auto"/>
          <w:szCs w:val="21"/>
          <w:highlight w:val="none"/>
        </w:rPr>
        <w:t>备注：</w:t>
      </w:r>
    </w:p>
    <w:p>
      <w:pPr>
        <w:widowControl/>
        <w:adjustRightInd w:val="0"/>
        <w:snapToGrid w:val="0"/>
        <w:ind w:firstLine="420" w:firstLineChars="200"/>
        <w:rPr>
          <w:rFonts w:ascii="Times New Roman" w:hAnsi="Times New Roman"/>
          <w:color w:val="auto"/>
          <w:szCs w:val="21"/>
          <w:highlight w:val="none"/>
        </w:rPr>
      </w:pPr>
      <w:r>
        <w:rPr>
          <w:rFonts w:ascii="Times New Roman" w:hAnsi="Times New Roman"/>
          <w:color w:val="auto"/>
          <w:szCs w:val="21"/>
          <w:highlight w:val="none"/>
        </w:rPr>
        <w:t>课程对毕业要求的支撑强度分别用“H/高、M/中、L/弱”表示；</w:t>
      </w:r>
    </w:p>
    <w:p>
      <w:pPr>
        <w:widowControl/>
        <w:adjustRightInd w:val="0"/>
        <w:snapToGrid w:val="0"/>
        <w:ind w:left="2" w:leftChars="1" w:firstLine="420" w:firstLineChars="200"/>
        <w:rPr>
          <w:rFonts w:ascii="Times New Roman" w:hAnsi="Times New Roman"/>
          <w:color w:val="auto"/>
          <w:highlight w:val="none"/>
        </w:rPr>
      </w:pPr>
      <w:r>
        <w:rPr>
          <w:rFonts w:ascii="Times New Roman" w:hAnsi="Times New Roman"/>
          <w:color w:val="auto"/>
          <w:szCs w:val="21"/>
          <w:highlight w:val="none"/>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N" w:date="2024-06-17T10:49:00Z" w:initials="">
    <w:p w14:paraId="007D0B50">
      <w:pPr>
        <w:pStyle w:val="3"/>
      </w:pPr>
      <w:r>
        <w:rPr>
          <w:rFonts w:hint="eastAsia"/>
        </w:rPr>
        <w:t>与 智能制造工程  专业一致</w:t>
      </w:r>
    </w:p>
  </w:comment>
  <w:comment w:id="1" w:author="LN" w:date="2024-06-17T11:02:00Z" w:initials="">
    <w:p w14:paraId="0BE91F87">
      <w:pPr>
        <w:pStyle w:val="3"/>
      </w:pPr>
      <w:r>
        <w:rPr>
          <w:rFonts w:hint="eastAsia"/>
        </w:rPr>
        <w:t>与 智能制造工程、机械电子工程 一致</w:t>
      </w:r>
    </w:p>
  </w:comment>
  <w:comment w:id="2" w:author="LN" w:date="2024-06-17T11:05:00Z" w:initials="">
    <w:p w14:paraId="214C5AAE">
      <w:pPr>
        <w:pStyle w:val="3"/>
      </w:pPr>
      <w:r>
        <w:rPr>
          <w:rFonts w:hint="eastAsia"/>
        </w:rPr>
        <w:t>与智能制造工程、测控一致</w:t>
      </w:r>
      <w:r>
        <w:rPr>
          <w:rFonts w:hint="eastAsia"/>
        </w:rPr>
        <w:br w:type="textWrapping"/>
      </w:r>
      <w:r>
        <w:rPr>
          <w:rFonts w:hint="eastAsia"/>
        </w:rPr>
        <w:t>有机器视觉模块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07D0B50" w15:done="0"/>
  <w15:commentEx w15:paraId="0BE91F87" w15:done="0"/>
  <w15:commentEx w15:paraId="214C5A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FCBC2"/>
    <w:multiLevelType w:val="singleLevel"/>
    <w:tmpl w:val="A55FCBC2"/>
    <w:lvl w:ilvl="0" w:tentative="0">
      <w:start w:val="1"/>
      <w:numFmt w:val="decimal"/>
      <w:suff w:val="nothing"/>
      <w:lvlText w:val="（%1）"/>
      <w:lvlJc w:val="left"/>
    </w:lvl>
  </w:abstractNum>
  <w:abstractNum w:abstractNumId="1">
    <w:nsid w:val="FFFFFFFB"/>
    <w:multiLevelType w:val="multilevel"/>
    <w:tmpl w:val="FFFFFFFB"/>
    <w:lvl w:ilvl="0" w:tentative="0">
      <w:start w:val="1"/>
      <w:numFmt w:val="upperRoman"/>
      <w:pStyle w:val="2"/>
      <w:lvlText w:val="%1."/>
      <w:legacy w:legacy="1" w:legacySpace="0" w:legacyIndent="425"/>
      <w:lvlJc w:val="left"/>
      <w:pPr>
        <w:ind w:left="425" w:hanging="425"/>
      </w:pPr>
    </w:lvl>
    <w:lvl w:ilvl="1" w:tentative="0">
      <w:start w:val="1"/>
      <w:numFmt w:val="upperLetter"/>
      <w:lvlText w:val="%2."/>
      <w:legacy w:legacy="1" w:legacySpace="0" w:legacyIndent="425"/>
      <w:lvlJc w:val="left"/>
      <w:pPr>
        <w:ind w:left="850" w:hanging="425"/>
      </w:pPr>
    </w:lvl>
    <w:lvl w:ilvl="2" w:tentative="0">
      <w:start w:val="1"/>
      <w:numFmt w:val="decimal"/>
      <w:lvlText w:val="%3."/>
      <w:legacy w:legacy="1" w:legacySpace="0" w:legacyIndent="425"/>
      <w:lvlJc w:val="left"/>
      <w:pPr>
        <w:ind w:left="1275"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abstractNum w:abstractNumId="2">
    <w:nsid w:val="15535AC0"/>
    <w:multiLevelType w:val="singleLevel"/>
    <w:tmpl w:val="15535AC0"/>
    <w:lvl w:ilvl="0" w:tentative="0">
      <w:start w:val="12"/>
      <w:numFmt w:val="decimal"/>
      <w:suff w:val="space"/>
      <w:lvlText w:val="%1."/>
      <w:lvlJc w:val="left"/>
      <w:rPr>
        <w:b/>
        <w:bCs/>
      </w:rPr>
    </w:lvl>
  </w:abstractNum>
  <w:abstractNum w:abstractNumId="3">
    <w:nsid w:val="1BFB2F1F"/>
    <w:multiLevelType w:val="singleLevel"/>
    <w:tmpl w:val="1BFB2F1F"/>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N">
    <w15:presenceInfo w15:providerId="None" w15:userId="L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hNjI2NWNlNTU0ZGMwNGZiM2M1M2QzYWExNTk1MmEifQ=="/>
  </w:docVars>
  <w:rsids>
    <w:rsidRoot w:val="693F62C7"/>
    <w:rsid w:val="00154461"/>
    <w:rsid w:val="001C294E"/>
    <w:rsid w:val="00466B1D"/>
    <w:rsid w:val="00554864"/>
    <w:rsid w:val="00573620"/>
    <w:rsid w:val="006B491C"/>
    <w:rsid w:val="007D2042"/>
    <w:rsid w:val="008018D2"/>
    <w:rsid w:val="0082659E"/>
    <w:rsid w:val="008F6BA8"/>
    <w:rsid w:val="00A002FB"/>
    <w:rsid w:val="00CC5830"/>
    <w:rsid w:val="00D17C6E"/>
    <w:rsid w:val="00D545D0"/>
    <w:rsid w:val="00DB45FB"/>
    <w:rsid w:val="00DF6902"/>
    <w:rsid w:val="00E00E60"/>
    <w:rsid w:val="00E740DF"/>
    <w:rsid w:val="00EB3A7C"/>
    <w:rsid w:val="00EF5C0A"/>
    <w:rsid w:val="00F905CA"/>
    <w:rsid w:val="03125B78"/>
    <w:rsid w:val="05163795"/>
    <w:rsid w:val="07B05956"/>
    <w:rsid w:val="099C263F"/>
    <w:rsid w:val="09A154B2"/>
    <w:rsid w:val="0A6C0EC9"/>
    <w:rsid w:val="0B9679B3"/>
    <w:rsid w:val="0BE94B21"/>
    <w:rsid w:val="0CD12EBD"/>
    <w:rsid w:val="0DC77DDE"/>
    <w:rsid w:val="0E73290B"/>
    <w:rsid w:val="10B47E86"/>
    <w:rsid w:val="10CF355A"/>
    <w:rsid w:val="115D3896"/>
    <w:rsid w:val="1169417F"/>
    <w:rsid w:val="1488446D"/>
    <w:rsid w:val="150B768C"/>
    <w:rsid w:val="1B8E20F1"/>
    <w:rsid w:val="1BB17CC7"/>
    <w:rsid w:val="1CF82DB6"/>
    <w:rsid w:val="1D0350C5"/>
    <w:rsid w:val="1DCC31FE"/>
    <w:rsid w:val="231D1CA3"/>
    <w:rsid w:val="235558E1"/>
    <w:rsid w:val="239F0A2C"/>
    <w:rsid w:val="240C7AAB"/>
    <w:rsid w:val="250F0C67"/>
    <w:rsid w:val="26A914EA"/>
    <w:rsid w:val="29292913"/>
    <w:rsid w:val="2B8143CE"/>
    <w:rsid w:val="2C5C3709"/>
    <w:rsid w:val="2E383EF0"/>
    <w:rsid w:val="2F5507F6"/>
    <w:rsid w:val="2F5F3488"/>
    <w:rsid w:val="38A13CE6"/>
    <w:rsid w:val="39EA2D41"/>
    <w:rsid w:val="3DDB39A0"/>
    <w:rsid w:val="3E22445B"/>
    <w:rsid w:val="3EF5058E"/>
    <w:rsid w:val="42C74A2F"/>
    <w:rsid w:val="44DC072C"/>
    <w:rsid w:val="4513485D"/>
    <w:rsid w:val="4566019C"/>
    <w:rsid w:val="45D97854"/>
    <w:rsid w:val="464965E1"/>
    <w:rsid w:val="47045F4F"/>
    <w:rsid w:val="49B45433"/>
    <w:rsid w:val="4A5B4B44"/>
    <w:rsid w:val="4AEC5EA1"/>
    <w:rsid w:val="4D2A3DC7"/>
    <w:rsid w:val="4DB017E2"/>
    <w:rsid w:val="518806CC"/>
    <w:rsid w:val="53F3047B"/>
    <w:rsid w:val="54B46D2D"/>
    <w:rsid w:val="54B576DE"/>
    <w:rsid w:val="552D196B"/>
    <w:rsid w:val="57B1010C"/>
    <w:rsid w:val="59C54C43"/>
    <w:rsid w:val="5A4243D3"/>
    <w:rsid w:val="5AE0509A"/>
    <w:rsid w:val="5B043B95"/>
    <w:rsid w:val="5B1B2193"/>
    <w:rsid w:val="5B8C386F"/>
    <w:rsid w:val="5DB12789"/>
    <w:rsid w:val="5DED7EE9"/>
    <w:rsid w:val="5E363BF3"/>
    <w:rsid w:val="5F436A23"/>
    <w:rsid w:val="600A4D82"/>
    <w:rsid w:val="60BC758A"/>
    <w:rsid w:val="6126799A"/>
    <w:rsid w:val="62646D1C"/>
    <w:rsid w:val="627F60A9"/>
    <w:rsid w:val="6338512E"/>
    <w:rsid w:val="657C753B"/>
    <w:rsid w:val="65E2212E"/>
    <w:rsid w:val="693F62C7"/>
    <w:rsid w:val="6A3E33A1"/>
    <w:rsid w:val="6BC52AE4"/>
    <w:rsid w:val="6D4E3EF1"/>
    <w:rsid w:val="6DB253AB"/>
    <w:rsid w:val="706D542D"/>
    <w:rsid w:val="711C4915"/>
    <w:rsid w:val="71C9755E"/>
    <w:rsid w:val="725035F6"/>
    <w:rsid w:val="729E009B"/>
    <w:rsid w:val="73512555"/>
    <w:rsid w:val="73CE3B0A"/>
    <w:rsid w:val="73FB0309"/>
    <w:rsid w:val="7452064E"/>
    <w:rsid w:val="74BC0510"/>
    <w:rsid w:val="757D4335"/>
    <w:rsid w:val="75AA1F3C"/>
    <w:rsid w:val="760A505A"/>
    <w:rsid w:val="7A331CB1"/>
    <w:rsid w:val="7B8E4662"/>
    <w:rsid w:val="7F96696A"/>
    <w:rsid w:val="7FA6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numPr>
        <w:ilvl w:val="0"/>
        <w:numId w:val="1"/>
      </w:numPr>
      <w:adjustRightInd w:val="0"/>
      <w:spacing w:before="340" w:after="330" w:line="578" w:lineRule="atLeast"/>
      <w:jc w:val="left"/>
      <w:textAlignment w:val="baseline"/>
      <w:outlineLvl w:val="0"/>
    </w:pPr>
    <w:rPr>
      <w:rFonts w:ascii="Times New Roman" w:hAnsi="Times New Roman"/>
      <w:b/>
      <w:kern w:val="44"/>
      <w:sz w:val="4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10">
    <w:name w:val="annotation reference"/>
    <w:basedOn w:val="9"/>
    <w:qFormat/>
    <w:uiPriority w:val="0"/>
    <w:rPr>
      <w:sz w:val="21"/>
      <w:szCs w:val="21"/>
    </w:rPr>
  </w:style>
  <w:style w:type="character" w:customStyle="1" w:styleId="11">
    <w:name w:val="font51"/>
    <w:basedOn w:val="9"/>
    <w:autoRedefine/>
    <w:qFormat/>
    <w:uiPriority w:val="0"/>
    <w:rPr>
      <w:rFonts w:hint="eastAsia" w:ascii="宋体" w:hAnsi="宋体" w:eastAsia="宋体" w:cs="Times New Roman"/>
      <w:color w:val="000000"/>
      <w:sz w:val="20"/>
      <w:szCs w:val="20"/>
      <w:u w:val="none"/>
    </w:rPr>
  </w:style>
  <w:style w:type="character" w:customStyle="1" w:styleId="12">
    <w:name w:val="页眉 字符"/>
    <w:basedOn w:val="9"/>
    <w:link w:val="6"/>
    <w:autoRedefine/>
    <w:qFormat/>
    <w:uiPriority w:val="0"/>
    <w:rPr>
      <w:rFonts w:ascii="Calibri" w:hAnsi="Calibri" w:eastAsia="宋体" w:cs="Times New Roman"/>
      <w:kern w:val="2"/>
      <w:sz w:val="18"/>
      <w:szCs w:val="18"/>
    </w:rPr>
  </w:style>
  <w:style w:type="character" w:customStyle="1" w:styleId="13">
    <w:name w:val="页脚 字符"/>
    <w:basedOn w:val="9"/>
    <w:link w:val="5"/>
    <w:autoRedefine/>
    <w:qFormat/>
    <w:uiPriority w:val="0"/>
    <w:rPr>
      <w:rFonts w:ascii="Calibri" w:hAnsi="Calibri" w:eastAsia="宋体" w:cs="Times New Roman"/>
      <w:kern w:val="2"/>
      <w:sz w:val="18"/>
      <w:szCs w:val="18"/>
    </w:rPr>
  </w:style>
  <w:style w:type="character" w:customStyle="1" w:styleId="14">
    <w:name w:val="批注框文本 字符"/>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4B34-B151-4D79-80CC-8983A0B4C50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7100</Words>
  <Characters>8514</Characters>
  <Lines>81</Lines>
  <Paragraphs>22</Paragraphs>
  <TotalTime>6</TotalTime>
  <ScaleCrop>false</ScaleCrop>
  <LinksUpToDate>false</LinksUpToDate>
  <CharactersWithSpaces>8635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2024-03-08T08:18:00Z</dcterms:created>
  <dc:creator>WPS_1635491849</dc:creator>
  <cp:lastModifiedBy>WPS_1635491849</cp:lastModifiedBy>
  <cp:lastPrinted>2024-05-14T05:28:00Z</cp:lastPrinted>
  <dcterms:modified xsi:type="dcterms:W3CDTF">2024-07-10T00:50:45Z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5FF1A07FB82D43A5BAC22676942B4EB1_11</vt:lpwstr>
  </property>
</Properties>
</file>